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sz w:val="20"/>
          <w:szCs w:val="20"/>
          <w:lang w:eastAsia="pl-PL"/>
        </w:rPr>
      </w:pPr>
      <w:r w:rsidRPr="0091303E">
        <w:rPr>
          <w:rFonts w:ascii="Trebuchet MS" w:eastAsia="Times New Roman" w:hAnsi="Trebuchet MS" w:cs="Times New Roman"/>
          <w:b/>
          <w:bCs/>
          <w:color w:val="003366"/>
          <w:sz w:val="28"/>
          <w:lang w:eastAsia="pl-PL"/>
        </w:rPr>
        <w:t>STANOWISKO KONSULTANTA KRAJOWEGO W DZIEDZINIE PIELEGNIARSTWA ONKOLOGICZNEGO</w:t>
      </w:r>
    </w:p>
    <w:p w:rsidR="0091303E" w:rsidRPr="0091303E" w:rsidRDefault="0091303E" w:rsidP="0091303E">
      <w:pPr>
        <w:shd w:val="clear" w:color="auto" w:fill="FFFFFF"/>
        <w:spacing w:before="0" w:beforeAutospacing="0" w:after="0" w:line="270" w:lineRule="atLeast"/>
        <w:ind w:firstLine="708"/>
        <w:rPr>
          <w:rFonts w:ascii="Trebuchet MS" w:eastAsia="Times New Roman" w:hAnsi="Trebuchet MS" w:cs="Times New Roman"/>
          <w:color w:val="000000"/>
          <w:sz w:val="20"/>
          <w:szCs w:val="20"/>
          <w:lang w:eastAsia="pl-PL"/>
        </w:rPr>
      </w:pPr>
      <w:r w:rsidRPr="0091303E">
        <w:rPr>
          <w:rFonts w:ascii="Trebuchet MS" w:eastAsia="Times New Roman" w:hAnsi="Trebuchet MS" w:cs="Times New Roman"/>
          <w:b/>
          <w:bCs/>
          <w:color w:val="003366"/>
          <w:sz w:val="20"/>
          <w:lang w:eastAsia="pl-PL"/>
        </w:rPr>
        <w:t> </w:t>
      </w:r>
    </w:p>
    <w:p w:rsidR="0091303E" w:rsidRPr="0091303E" w:rsidRDefault="0091303E" w:rsidP="0091303E">
      <w:pPr>
        <w:shd w:val="clear" w:color="auto" w:fill="FFFFFF"/>
        <w:spacing w:before="0" w:beforeAutospacing="0" w:after="0" w:line="270" w:lineRule="atLeast"/>
        <w:ind w:firstLine="708"/>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Sporządzanie leków cytostatycznych w myśl Prawa Farmaceutycznego</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z dnia 6 września 2001 roku Dziennik Ustaw Nr 126 poz. 1381 jest </w:t>
      </w:r>
      <w:r w:rsidRPr="00821A31">
        <w:rPr>
          <w:rFonts w:ascii="Trebuchet MS" w:eastAsia="Times New Roman" w:hAnsi="Trebuchet MS" w:cs="Times New Roman"/>
          <w:b/>
          <w:bCs/>
          <w:color w:val="003366"/>
          <w:u w:val="single"/>
          <w:lang w:eastAsia="pl-PL"/>
        </w:rPr>
        <w:t>usługą farmaceutyczną </w:t>
      </w:r>
      <w:r w:rsidRPr="00821A31">
        <w:rPr>
          <w:rFonts w:ascii="Trebuchet MS" w:eastAsia="Times New Roman" w:hAnsi="Trebuchet MS" w:cs="Times New Roman"/>
          <w:b/>
          <w:bCs/>
          <w:color w:val="003366"/>
          <w:lang w:eastAsia="pl-PL"/>
        </w:rPr>
        <w:t> i powinna być wykonana przez farmaceutów.</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w:t>
      </w:r>
    </w:p>
    <w:p w:rsidR="0091303E" w:rsidRPr="0091303E" w:rsidRDefault="0091303E" w:rsidP="0091303E">
      <w:pPr>
        <w:shd w:val="clear" w:color="auto" w:fill="FFFFFF"/>
        <w:spacing w:before="0" w:beforeAutospacing="0" w:after="0" w:line="270" w:lineRule="atLeast"/>
        <w:ind w:firstLine="708"/>
        <w:rPr>
          <w:rFonts w:ascii="Trebuchet MS" w:eastAsia="Times New Roman" w:hAnsi="Trebuchet MS" w:cs="Times New Roman"/>
          <w:color w:val="000000"/>
          <w:lang w:eastAsia="pl-PL"/>
        </w:rPr>
      </w:pPr>
      <w:r w:rsidRPr="0091303E">
        <w:rPr>
          <w:rFonts w:ascii="Trebuchet MS" w:eastAsia="Times New Roman" w:hAnsi="Trebuchet MS" w:cs="Times New Roman"/>
          <w:color w:val="003366"/>
          <w:u w:val="single"/>
          <w:lang w:eastAsia="pl-PL"/>
        </w:rPr>
        <w:t xml:space="preserve">Zgodnie z </w:t>
      </w:r>
      <w:proofErr w:type="spellStart"/>
      <w:r w:rsidRPr="0091303E">
        <w:rPr>
          <w:rFonts w:ascii="Trebuchet MS" w:eastAsia="Times New Roman" w:hAnsi="Trebuchet MS" w:cs="Times New Roman"/>
          <w:color w:val="003366"/>
          <w:u w:val="single"/>
          <w:lang w:eastAsia="pl-PL"/>
        </w:rPr>
        <w:t>obowiązujacymi</w:t>
      </w:r>
      <w:proofErr w:type="spellEnd"/>
      <w:r w:rsidRPr="0091303E">
        <w:rPr>
          <w:rFonts w:ascii="Trebuchet MS" w:eastAsia="Times New Roman" w:hAnsi="Trebuchet MS" w:cs="Times New Roman"/>
          <w:color w:val="003366"/>
          <w:u w:val="single"/>
          <w:lang w:eastAsia="pl-PL"/>
        </w:rPr>
        <w:t xml:space="preserve"> przepisami przygotowywanie leków cytostatycznych odbywać  się powinno w Pracowni </w:t>
      </w:r>
      <w:proofErr w:type="spellStart"/>
      <w:r w:rsidRPr="0091303E">
        <w:rPr>
          <w:rFonts w:ascii="Trebuchet MS" w:eastAsia="Times New Roman" w:hAnsi="Trebuchet MS" w:cs="Times New Roman"/>
          <w:color w:val="003366"/>
          <w:u w:val="single"/>
          <w:lang w:eastAsia="pl-PL"/>
        </w:rPr>
        <w:t>Cytostatyków</w:t>
      </w:r>
      <w:proofErr w:type="spellEnd"/>
      <w:r w:rsidRPr="0091303E">
        <w:rPr>
          <w:rFonts w:ascii="Trebuchet MS" w:eastAsia="Times New Roman" w:hAnsi="Trebuchet MS" w:cs="Times New Roman"/>
          <w:color w:val="003366"/>
          <w:u w:val="single"/>
          <w:lang w:eastAsia="pl-PL"/>
        </w:rPr>
        <w:t xml:space="preserve"> na podstawie recept wystawionych przez lekarza (</w:t>
      </w:r>
      <w:proofErr w:type="spellStart"/>
      <w:r w:rsidRPr="0091303E">
        <w:rPr>
          <w:rFonts w:ascii="Trebuchet MS" w:eastAsia="Times New Roman" w:hAnsi="Trebuchet MS" w:cs="Times New Roman"/>
          <w:color w:val="003366"/>
          <w:u w:val="single"/>
          <w:lang w:eastAsia="pl-PL"/>
        </w:rPr>
        <w:t>chemioterapeutę</w:t>
      </w:r>
      <w:proofErr w:type="spellEnd"/>
      <w:r w:rsidRPr="0091303E">
        <w:rPr>
          <w:rFonts w:ascii="Trebuchet MS" w:eastAsia="Times New Roman" w:hAnsi="Trebuchet MS" w:cs="Times New Roman"/>
          <w:color w:val="003366"/>
          <w:u w:val="single"/>
          <w:lang w:eastAsia="pl-PL"/>
        </w:rPr>
        <w:t xml:space="preserve">). W Pracowni </w:t>
      </w:r>
      <w:proofErr w:type="spellStart"/>
      <w:r w:rsidRPr="0091303E">
        <w:rPr>
          <w:rFonts w:ascii="Trebuchet MS" w:eastAsia="Times New Roman" w:hAnsi="Trebuchet MS" w:cs="Times New Roman"/>
          <w:color w:val="003366"/>
          <w:u w:val="single"/>
          <w:lang w:eastAsia="pl-PL"/>
        </w:rPr>
        <w:t>Cytostatyków</w:t>
      </w:r>
      <w:proofErr w:type="spellEnd"/>
      <w:r w:rsidRPr="0091303E">
        <w:rPr>
          <w:rFonts w:ascii="Trebuchet MS" w:eastAsia="Times New Roman" w:hAnsi="Trebuchet MS" w:cs="Times New Roman"/>
          <w:color w:val="003366"/>
          <w:u w:val="single"/>
          <w:lang w:eastAsia="pl-PL"/>
        </w:rPr>
        <w:t xml:space="preserve"> farmaceuta dokonuje weryfikacji recepty pod względem formalnym oraz merytorycznym, a następnie przygotowuje etykiety oraz przepis wykonawczy, na podstawie którego lek cytostatyczny zostaje sporządzony. Cały proces przygotowywania leków cytostatycznych jest odpowiednio dokumentowany. Etykiety umieszczone na przygotowanym preparacie cytostatycznym zawierają dane: pacjenta , osoby sporządzającej lek oraz substancji i rozpuszczalników użytych do produkcji, datę produkcji oraz warunki przechowywania. Przekazanie sporządzonych preparatów cytostatycznych potwierdzone jest</w:t>
      </w:r>
      <w:r w:rsidR="00821A31">
        <w:rPr>
          <w:rFonts w:ascii="Trebuchet MS" w:eastAsia="Times New Roman" w:hAnsi="Trebuchet MS" w:cs="Times New Roman"/>
          <w:color w:val="003366"/>
          <w:u w:val="single"/>
          <w:lang w:eastAsia="pl-PL"/>
        </w:rPr>
        <w:t xml:space="preserve"> czytelnym podpisem osoby wydają</w:t>
      </w:r>
      <w:r w:rsidRPr="0091303E">
        <w:rPr>
          <w:rFonts w:ascii="Trebuchet MS" w:eastAsia="Times New Roman" w:hAnsi="Trebuchet MS" w:cs="Times New Roman"/>
          <w:color w:val="003366"/>
          <w:u w:val="single"/>
          <w:lang w:eastAsia="pl-PL"/>
        </w:rPr>
        <w:t>cej (farmaceuta) i przyjmującej (pielęgniarka).</w:t>
      </w:r>
    </w:p>
    <w:p w:rsidR="0091303E" w:rsidRPr="0091303E" w:rsidRDefault="0091303E" w:rsidP="0091303E">
      <w:pPr>
        <w:shd w:val="clear" w:color="auto" w:fill="FFFFFF"/>
        <w:spacing w:before="0" w:beforeAutospacing="0" w:after="0" w:line="270" w:lineRule="atLeast"/>
        <w:ind w:firstLine="708"/>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Preparaty cytostatyczne sporządzane są przez wykwalifikowany personel Apteki Szpitalnej (farmaceuci). Natomiast</w:t>
      </w:r>
      <w:r w:rsidRPr="00821A31">
        <w:rPr>
          <w:rFonts w:ascii="Trebuchet MS" w:eastAsia="Times New Roman" w:hAnsi="Trebuchet MS" w:cs="Times New Roman"/>
          <w:color w:val="003366"/>
          <w:lang w:eastAsia="pl-PL"/>
        </w:rPr>
        <w:t> </w:t>
      </w:r>
      <w:proofErr w:type="spellStart"/>
      <w:r w:rsidRPr="00821A31">
        <w:rPr>
          <w:rFonts w:ascii="Trebuchet MS" w:eastAsia="Times New Roman" w:hAnsi="Trebuchet MS" w:cs="Times New Roman"/>
          <w:b/>
          <w:bCs/>
          <w:color w:val="003366"/>
          <w:lang w:eastAsia="pl-PL"/>
        </w:rPr>
        <w:t>pielęgniarkimają</w:t>
      </w:r>
      <w:proofErr w:type="spellEnd"/>
      <w:r w:rsidRPr="00821A31">
        <w:rPr>
          <w:rFonts w:ascii="Trebuchet MS" w:eastAsia="Times New Roman" w:hAnsi="Trebuchet MS" w:cs="Times New Roman"/>
          <w:b/>
          <w:bCs/>
          <w:color w:val="003366"/>
          <w:lang w:eastAsia="pl-PL"/>
        </w:rPr>
        <w:t> uprawnienia do podawania</w:t>
      </w:r>
      <w:r w:rsidRPr="0091303E">
        <w:rPr>
          <w:rFonts w:ascii="Trebuchet MS" w:eastAsia="Times New Roman" w:hAnsi="Trebuchet MS" w:cs="Times New Roman"/>
          <w:color w:val="003366"/>
          <w:lang w:eastAsia="pl-PL"/>
        </w:rPr>
        <w:t>, zgodnie z Ustawą z dnia 5 lipca 1996 roku z późniejszymi zmianami o zawodach pielęgniarki i położnej</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 xml:space="preserve">a nie sporządzania leków </w:t>
      </w:r>
      <w:proofErr w:type="spellStart"/>
      <w:r w:rsidRPr="00821A31">
        <w:rPr>
          <w:rFonts w:ascii="Trebuchet MS" w:eastAsia="Times New Roman" w:hAnsi="Trebuchet MS" w:cs="Times New Roman"/>
          <w:b/>
          <w:bCs/>
          <w:color w:val="003366"/>
          <w:lang w:eastAsia="pl-PL"/>
        </w:rPr>
        <w:t>cytostycznych</w:t>
      </w:r>
      <w:proofErr w:type="spellEnd"/>
      <w:r w:rsidRPr="00821A31">
        <w:rPr>
          <w:rFonts w:ascii="Trebuchet MS" w:eastAsia="Times New Roman" w:hAnsi="Trebuchet MS" w:cs="Times New Roman"/>
          <w:b/>
          <w:bCs/>
          <w:color w:val="003366"/>
          <w:lang w:eastAsia="pl-PL"/>
        </w:rPr>
        <w:t xml:space="preserve"> ( w tym leki z grupy A)</w:t>
      </w:r>
      <w:r w:rsidRPr="0091303E">
        <w:rPr>
          <w:rFonts w:ascii="Trebuchet MS" w:eastAsia="Times New Roman" w:hAnsi="Trebuchet MS" w:cs="Times New Roman"/>
          <w:color w:val="003366"/>
          <w:lang w:eastAsia="pl-PL"/>
        </w:rPr>
        <w:t>.</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91303E">
        <w:rPr>
          <w:rFonts w:ascii="Trebuchet MS" w:eastAsia="Times New Roman" w:hAnsi="Trebuchet MS" w:cs="Times New Roman"/>
          <w:color w:val="003366"/>
          <w:u w:val="single"/>
          <w:lang w:eastAsia="pl-PL"/>
        </w:rPr>
        <w:t>Odpowiednio wykwalifikowany personel, bezpieczne warunki pracy, prawidłowe prowadzenie dokumentacji są gwarancją otrzymania przez pacjenta leku bezpiecznego i zgodnie z ordynacją lekarza.</w:t>
      </w:r>
    </w:p>
    <w:p w:rsidR="0091303E" w:rsidRPr="0091303E" w:rsidRDefault="0091303E" w:rsidP="0091303E">
      <w:pPr>
        <w:shd w:val="clear" w:color="auto" w:fill="FFFFFF"/>
        <w:spacing w:before="0" w:beforeAutospacing="0" w:after="0" w:line="270" w:lineRule="atLeast"/>
        <w:ind w:firstLine="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xml:space="preserve">    Podstawowe zasady sporządzania </w:t>
      </w:r>
      <w:proofErr w:type="spellStart"/>
      <w:r w:rsidRPr="0091303E">
        <w:rPr>
          <w:rFonts w:ascii="Trebuchet MS" w:eastAsia="Times New Roman" w:hAnsi="Trebuchet MS" w:cs="Times New Roman"/>
          <w:color w:val="003366"/>
          <w:lang w:eastAsia="pl-PL"/>
        </w:rPr>
        <w:t>cytostatyków</w:t>
      </w:r>
      <w:proofErr w:type="spellEnd"/>
      <w:r w:rsidRPr="0091303E">
        <w:rPr>
          <w:rFonts w:ascii="Trebuchet MS" w:eastAsia="Times New Roman" w:hAnsi="Trebuchet MS" w:cs="Times New Roman"/>
          <w:color w:val="003366"/>
          <w:lang w:eastAsia="pl-PL"/>
        </w:rPr>
        <w:t xml:space="preserve"> są jednoznaczne i obowiązują w   krajach Unii Europejskiej. Tylko bezwzględne ich przestrzeganie daje gwarancję otrzymywania leków należytej jakości, bez narażenia zdrowia człowieka i bezpieczeństwa środowiska. Przygotowanie roztworów leków parenteralnych zawierających cytostatyki, winno odbywać się w warunkach aseptycznych (leki jałowe) oraz w warunkach gwarantujących bezpieczeństwo pracy personelu. </w:t>
      </w:r>
    </w:p>
    <w:p w:rsidR="0091303E" w:rsidRPr="0091303E" w:rsidRDefault="0091303E" w:rsidP="0091303E">
      <w:pPr>
        <w:shd w:val="clear" w:color="auto" w:fill="FFFFFF"/>
        <w:spacing w:before="0" w:beforeAutospacing="0" w:after="0" w:line="270" w:lineRule="atLeast"/>
        <w:ind w:firstLine="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Uważam, za słuszne i wskazane organizowanie w szpitalach –</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 xml:space="preserve">Centralnych Pracowni Leków </w:t>
      </w:r>
      <w:proofErr w:type="spellStart"/>
      <w:r w:rsidRPr="00821A31">
        <w:rPr>
          <w:rFonts w:ascii="Trebuchet MS" w:eastAsia="Times New Roman" w:hAnsi="Trebuchet MS" w:cs="Times New Roman"/>
          <w:b/>
          <w:bCs/>
          <w:color w:val="003366"/>
          <w:lang w:eastAsia="pl-PL"/>
        </w:rPr>
        <w:t>Cytostatyków</w:t>
      </w:r>
      <w:proofErr w:type="spellEnd"/>
      <w:r w:rsidRPr="00821A31">
        <w:rPr>
          <w:rFonts w:ascii="Trebuchet MS" w:eastAsia="Times New Roman" w:hAnsi="Trebuchet MS" w:cs="Times New Roman"/>
          <w:b/>
          <w:bCs/>
          <w:color w:val="003366"/>
          <w:lang w:eastAsia="pl-PL"/>
        </w:rPr>
        <w:t>.</w:t>
      </w:r>
      <w:r w:rsidRPr="00821A31">
        <w:rPr>
          <w:rFonts w:ascii="Trebuchet MS" w:eastAsia="Times New Roman" w:hAnsi="Trebuchet MS" w:cs="Times New Roman"/>
          <w:color w:val="003366"/>
          <w:lang w:eastAsia="pl-PL"/>
        </w:rPr>
        <w:t> </w:t>
      </w:r>
      <w:r w:rsidRPr="0091303E">
        <w:rPr>
          <w:rFonts w:ascii="Trebuchet MS" w:eastAsia="Times New Roman" w:hAnsi="Trebuchet MS" w:cs="Times New Roman"/>
          <w:color w:val="003366"/>
          <w:lang w:eastAsia="pl-PL"/>
        </w:rPr>
        <w:t xml:space="preserve">Centralizacja sporządzania </w:t>
      </w:r>
      <w:proofErr w:type="spellStart"/>
      <w:r w:rsidRPr="0091303E">
        <w:rPr>
          <w:rFonts w:ascii="Trebuchet MS" w:eastAsia="Times New Roman" w:hAnsi="Trebuchet MS" w:cs="Times New Roman"/>
          <w:color w:val="003366"/>
          <w:lang w:eastAsia="pl-PL"/>
        </w:rPr>
        <w:t>cytostatyków</w:t>
      </w:r>
      <w:proofErr w:type="spellEnd"/>
      <w:r w:rsidRPr="0091303E">
        <w:rPr>
          <w:rFonts w:ascii="Trebuchet MS" w:eastAsia="Times New Roman" w:hAnsi="Trebuchet MS" w:cs="Times New Roman"/>
          <w:color w:val="003366"/>
          <w:lang w:eastAsia="pl-PL"/>
        </w:rPr>
        <w:t xml:space="preserve"> niewątpliwie zapewni</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wysoką jakość produktu końcowego (jałowość), zmniejszy ryzyko narażenia pacjentów, personelu i środowiska na toksyczne działanie preparatu</w:t>
      </w:r>
      <w:r w:rsidRPr="0091303E">
        <w:rPr>
          <w:rFonts w:ascii="Trebuchet MS" w:eastAsia="Times New Roman" w:hAnsi="Trebuchet MS" w:cs="Times New Roman"/>
          <w:color w:val="003366"/>
          <w:lang w:eastAsia="pl-PL"/>
        </w:rPr>
        <w:t>, zminimalizuje ryzyko popełnianych błędów oraz</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zagwarantuje oszczędne gospodarowanie bardzo drogimi lekami</w:t>
      </w:r>
      <w:r w:rsidRPr="0091303E">
        <w:rPr>
          <w:rFonts w:ascii="Trebuchet MS" w:eastAsia="Times New Roman" w:hAnsi="Trebuchet MS" w:cs="Times New Roman"/>
          <w:color w:val="003366"/>
          <w:lang w:eastAsia="pl-PL"/>
        </w:rPr>
        <w:t>. Personel centralnej pracowni przygotowywania leków cytostatycznych winien posiadać wiedzę z zakresu sporządzania dożylnych postaci leków, farmakologii, toksykologii, farmakokinetyki, właściwości fizykochemicznych, interakcji leków oraz znać przepisy prawne obowiązujące podczas przygotowywania tego rodzaju leków. Nie bez znaczenia jest też kwestia odpowiedzialności za jakość przygotowywanych preparatów oraz ekonomika gospodarki lekiem.</w:t>
      </w:r>
    </w:p>
    <w:p w:rsidR="0091303E" w:rsidRPr="0091303E" w:rsidRDefault="0091303E" w:rsidP="0091303E">
      <w:pPr>
        <w:shd w:val="clear" w:color="auto" w:fill="FFFFFF"/>
        <w:spacing w:before="0" w:beforeAutospacing="0" w:after="0" w:line="270" w:lineRule="atLeast"/>
        <w:ind w:firstLine="708"/>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xml:space="preserve">Nadmieniam, że znaczna część </w:t>
      </w:r>
      <w:proofErr w:type="spellStart"/>
      <w:r w:rsidRPr="00821A31">
        <w:rPr>
          <w:rFonts w:ascii="Trebuchet MS" w:eastAsia="Times New Roman" w:hAnsi="Trebuchet MS" w:cs="Times New Roman"/>
          <w:b/>
          <w:bCs/>
          <w:color w:val="003366"/>
          <w:lang w:eastAsia="pl-PL"/>
        </w:rPr>
        <w:t>cytostatyków</w:t>
      </w:r>
      <w:proofErr w:type="spellEnd"/>
      <w:r w:rsidRPr="00821A31">
        <w:rPr>
          <w:rFonts w:ascii="Trebuchet MS" w:eastAsia="Times New Roman" w:hAnsi="Trebuchet MS" w:cs="Times New Roman"/>
          <w:b/>
          <w:bCs/>
          <w:color w:val="003366"/>
          <w:lang w:eastAsia="pl-PL"/>
        </w:rPr>
        <w:t> </w:t>
      </w:r>
      <w:r w:rsidRPr="0091303E">
        <w:rPr>
          <w:rFonts w:ascii="Trebuchet MS" w:eastAsia="Times New Roman" w:hAnsi="Trebuchet MS" w:cs="Times New Roman"/>
          <w:color w:val="003366"/>
          <w:lang w:eastAsia="pl-PL"/>
        </w:rPr>
        <w:t xml:space="preserve">( np. </w:t>
      </w:r>
      <w:proofErr w:type="spellStart"/>
      <w:r w:rsidRPr="0091303E">
        <w:rPr>
          <w:rFonts w:ascii="Trebuchet MS" w:eastAsia="Times New Roman" w:hAnsi="Trebuchet MS" w:cs="Times New Roman"/>
          <w:color w:val="003366"/>
          <w:lang w:eastAsia="pl-PL"/>
        </w:rPr>
        <w:t>Cladribinum</w:t>
      </w:r>
      <w:proofErr w:type="spellEnd"/>
      <w:r w:rsidRPr="0091303E">
        <w:rPr>
          <w:rFonts w:ascii="Trebuchet MS" w:eastAsia="Times New Roman" w:hAnsi="Trebuchet MS" w:cs="Times New Roman"/>
          <w:color w:val="003366"/>
          <w:lang w:eastAsia="pl-PL"/>
        </w:rPr>
        <w:t xml:space="preserve">, </w:t>
      </w:r>
      <w:proofErr w:type="spellStart"/>
      <w:r w:rsidRPr="0091303E">
        <w:rPr>
          <w:rFonts w:ascii="Trebuchet MS" w:eastAsia="Times New Roman" w:hAnsi="Trebuchet MS" w:cs="Times New Roman"/>
          <w:color w:val="003366"/>
          <w:lang w:eastAsia="pl-PL"/>
        </w:rPr>
        <w:t>Dacarbazinum</w:t>
      </w:r>
      <w:proofErr w:type="spellEnd"/>
      <w:r w:rsidRPr="0091303E">
        <w:rPr>
          <w:rFonts w:ascii="Trebuchet MS" w:eastAsia="Times New Roman" w:hAnsi="Trebuchet MS" w:cs="Times New Roman"/>
          <w:color w:val="003366"/>
          <w:lang w:eastAsia="pl-PL"/>
        </w:rPr>
        <w:t xml:space="preserve">, </w:t>
      </w:r>
      <w:proofErr w:type="spellStart"/>
      <w:r w:rsidRPr="0091303E">
        <w:rPr>
          <w:rFonts w:ascii="Trebuchet MS" w:eastAsia="Times New Roman" w:hAnsi="Trebuchet MS" w:cs="Times New Roman"/>
          <w:color w:val="003366"/>
          <w:lang w:eastAsia="pl-PL"/>
        </w:rPr>
        <w:t>Methotrexatum</w:t>
      </w:r>
      <w:proofErr w:type="spellEnd"/>
      <w:r w:rsidRPr="0091303E">
        <w:rPr>
          <w:rFonts w:ascii="Trebuchet MS" w:eastAsia="Times New Roman" w:hAnsi="Trebuchet MS" w:cs="Times New Roman"/>
          <w:color w:val="003366"/>
          <w:lang w:eastAsia="pl-PL"/>
        </w:rPr>
        <w:t xml:space="preserve">, </w:t>
      </w:r>
      <w:proofErr w:type="spellStart"/>
      <w:r w:rsidRPr="0091303E">
        <w:rPr>
          <w:rFonts w:ascii="Trebuchet MS" w:eastAsia="Times New Roman" w:hAnsi="Trebuchet MS" w:cs="Times New Roman"/>
          <w:color w:val="003366"/>
          <w:lang w:eastAsia="pl-PL"/>
        </w:rPr>
        <w:t>Paclitaxelum</w:t>
      </w:r>
      <w:proofErr w:type="spellEnd"/>
      <w:r w:rsidRPr="0091303E">
        <w:rPr>
          <w:rFonts w:ascii="Trebuchet MS" w:eastAsia="Times New Roman" w:hAnsi="Trebuchet MS" w:cs="Times New Roman"/>
          <w:color w:val="003366"/>
          <w:lang w:eastAsia="pl-PL"/>
        </w:rPr>
        <w:t xml:space="preserve"> )</w:t>
      </w:r>
      <w:r w:rsidRPr="00821A31">
        <w:rPr>
          <w:rFonts w:ascii="Trebuchet MS" w:eastAsia="Times New Roman" w:hAnsi="Trebuchet MS" w:cs="Times New Roman"/>
          <w:b/>
          <w:bCs/>
          <w:color w:val="003366"/>
          <w:u w:val="single"/>
          <w:lang w:eastAsia="pl-PL"/>
        </w:rPr>
        <w:t>należy do wykazu A</w:t>
      </w:r>
      <w:r w:rsidRPr="00821A31">
        <w:rPr>
          <w:rFonts w:ascii="Trebuchet MS" w:eastAsia="Times New Roman" w:hAnsi="Trebuchet MS" w:cs="Times New Roman"/>
          <w:b/>
          <w:bCs/>
          <w:color w:val="003366"/>
          <w:lang w:eastAsia="pl-PL"/>
        </w:rPr>
        <w:t> (</w:t>
      </w:r>
      <w:r w:rsidRPr="0091303E">
        <w:rPr>
          <w:rFonts w:ascii="Trebuchet MS" w:eastAsia="Times New Roman" w:hAnsi="Trebuchet MS" w:cs="Times New Roman"/>
          <w:color w:val="003366"/>
          <w:lang w:eastAsia="pl-PL"/>
        </w:rPr>
        <w:t>leków bardzo silnie działających),</w:t>
      </w:r>
      <w:r w:rsidRPr="00821A31">
        <w:rPr>
          <w:rFonts w:ascii="Trebuchet MS" w:eastAsia="Times New Roman" w:hAnsi="Trebuchet MS" w:cs="Times New Roman"/>
          <w:b/>
          <w:bCs/>
          <w:color w:val="003366"/>
          <w:lang w:eastAsia="pl-PL"/>
        </w:rPr>
        <w:t> </w:t>
      </w:r>
      <w:r w:rsidRPr="00821A31">
        <w:rPr>
          <w:rFonts w:ascii="Trebuchet MS" w:eastAsia="Times New Roman" w:hAnsi="Trebuchet MS" w:cs="Times New Roman"/>
          <w:b/>
          <w:bCs/>
          <w:color w:val="003366"/>
          <w:u w:val="single"/>
          <w:lang w:eastAsia="pl-PL"/>
        </w:rPr>
        <w:t>których sporządzanie leży tylko w gestii farmaceutów</w:t>
      </w:r>
      <w:r w:rsidRPr="00821A31">
        <w:rPr>
          <w:rFonts w:ascii="Trebuchet MS" w:eastAsia="Times New Roman" w:hAnsi="Trebuchet MS" w:cs="Times New Roman"/>
          <w:b/>
          <w:bCs/>
          <w:color w:val="003366"/>
          <w:lang w:eastAsia="pl-PL"/>
        </w:rPr>
        <w:t>.</w:t>
      </w:r>
    </w:p>
    <w:p w:rsidR="0091303E" w:rsidRPr="0091303E" w:rsidRDefault="0091303E" w:rsidP="0091303E">
      <w:pPr>
        <w:shd w:val="clear" w:color="auto" w:fill="FFFFFF"/>
        <w:spacing w:before="0" w:beforeAutospacing="0" w:after="0" w:line="270" w:lineRule="atLeast"/>
        <w:jc w:val="both"/>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Biorąc pod uwagę wszystkie wyżej wymienione aspekty towarzyszące stosowaniu leków przeciwnowotworowych, wydaje się słuszne i celowe, by przygotowywaniem ich zajmowali się tylko farmaceuci.</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xml:space="preserve">Takie rozwiązanie przewidziane jest w obowiązującym prawie </w:t>
      </w:r>
      <w:proofErr w:type="spellStart"/>
      <w:r w:rsidRPr="00821A31">
        <w:rPr>
          <w:rFonts w:ascii="Trebuchet MS" w:eastAsia="Times New Roman" w:hAnsi="Trebuchet MS" w:cs="Times New Roman"/>
          <w:b/>
          <w:bCs/>
          <w:color w:val="003366"/>
          <w:lang w:eastAsia="pl-PL"/>
        </w:rPr>
        <w:t>tj</w:t>
      </w:r>
      <w:proofErr w:type="spellEnd"/>
      <w:r w:rsidRPr="00821A31">
        <w:rPr>
          <w:rFonts w:ascii="Trebuchet MS" w:eastAsia="Times New Roman" w:hAnsi="Trebuchet MS" w:cs="Times New Roman"/>
          <w:b/>
          <w:bCs/>
          <w:color w:val="003366"/>
          <w:lang w:eastAsia="pl-PL"/>
        </w:rPr>
        <w:t>:</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I.</w:t>
      </w:r>
      <w:r w:rsidRPr="00821A31">
        <w:rPr>
          <w:rFonts w:ascii="Times New Roman" w:eastAsia="Times New Roman" w:hAnsi="Times New Roman" w:cs="Times New Roman"/>
          <w:b/>
          <w:bCs/>
          <w:color w:val="003366"/>
          <w:lang w:eastAsia="pl-PL"/>
        </w:rPr>
        <w:t>       </w:t>
      </w:r>
      <w:r w:rsidRPr="00821A31">
        <w:rPr>
          <w:rFonts w:ascii="Trebuchet MS" w:eastAsia="Times New Roman" w:hAnsi="Trebuchet MS" w:cs="Times New Roman"/>
          <w:b/>
          <w:bCs/>
          <w:color w:val="003366"/>
          <w:lang w:eastAsia="pl-PL"/>
        </w:rPr>
        <w:t>Rozporządzenie Ministra Zdrowia i Opieki Społecznej z dnia 19 czerwca 1996 r. </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z późniejszymi zmianami.</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lastRenderedPageBreak/>
        <w:t>II. Ustawa - Prawo Farmaceutyczne z dnia 6 września 2001 r. (Dz. U. Nr 126 poz. 1381) wprowadziła w rozdziale 7 Art. 86 p. 3 zapis :</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W odniesieniu do aptek szpitalnych usługą farmaceutyczną jest również: (... )</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3.)przygotowywanie leków w dawkach dziennych, w tym leków cytostatycznych.</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III. Dyrektywa 91/356/EEC.</w:t>
      </w:r>
    </w:p>
    <w:p w:rsidR="0091303E" w:rsidRPr="0091303E" w:rsidRDefault="0091303E" w:rsidP="0091303E">
      <w:pPr>
        <w:shd w:val="clear" w:color="auto" w:fill="FFFFFF"/>
        <w:spacing w:before="0" w:beforeAutospacing="0" w:after="0" w:line="270" w:lineRule="atLeast"/>
        <w:ind w:firstLine="357"/>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Przyjęta w 1991 r. Dyrektywa 91/356/EEC ustala zasady i instrukcje Dobrej Praktyki Wytwarzania (GMP) dla produktów farmaceutycznych. Dobra Praktyka Wytwarzania, jako część Systemu Zapewnienia Jakości, gwarantuje, że produkty są zawsze produkowane i kontrolowane wg standardów jakości, odpowiednio do ich zamierzonego użycia i według wymagań zgodnych z dokumentacją.</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u w:val="single"/>
          <w:lang w:eastAsia="pl-PL"/>
        </w:rPr>
        <w:t>Reasumując:</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1.</w:t>
      </w:r>
      <w:r w:rsidRPr="00821A31">
        <w:rPr>
          <w:rFonts w:ascii="Times New Roman" w:eastAsia="Times New Roman" w:hAnsi="Times New Roman" w:cs="Times New Roman"/>
          <w:b/>
          <w:bCs/>
          <w:color w:val="003366"/>
          <w:lang w:eastAsia="pl-PL"/>
        </w:rPr>
        <w:t>      </w:t>
      </w:r>
      <w:r w:rsidRPr="00821A31">
        <w:rPr>
          <w:rFonts w:ascii="Trebuchet MS" w:eastAsia="Times New Roman" w:hAnsi="Trebuchet MS" w:cs="Times New Roman"/>
          <w:b/>
          <w:bCs/>
          <w:color w:val="003366"/>
          <w:lang w:eastAsia="pl-PL"/>
        </w:rPr>
        <w:t>Niezaprzeczalnym jest fakt, że przygotowywanie leków       cytostatycznych w dawkach indywidualnych jest usługą farmaceutyczną</w:t>
      </w:r>
      <w:r w:rsidRPr="00821A31">
        <w:rPr>
          <w:rFonts w:ascii="Trebuchet MS" w:eastAsia="Times New Roman" w:hAnsi="Trebuchet MS" w:cs="Times New Roman"/>
          <w:color w:val="003366"/>
          <w:lang w:eastAsia="pl-PL"/>
        </w:rPr>
        <w:t> </w:t>
      </w:r>
      <w:r w:rsidRPr="0091303E">
        <w:rPr>
          <w:rFonts w:ascii="Trebuchet MS" w:eastAsia="Times New Roman" w:hAnsi="Trebuchet MS" w:cs="Times New Roman"/>
          <w:color w:val="003366"/>
          <w:lang w:eastAsia="pl-PL"/>
        </w:rPr>
        <w:t xml:space="preserve">(art. 86 ust. 3 </w:t>
      </w:r>
      <w:proofErr w:type="spellStart"/>
      <w:r w:rsidRPr="0091303E">
        <w:rPr>
          <w:rFonts w:ascii="Trebuchet MS" w:eastAsia="Times New Roman" w:hAnsi="Trebuchet MS" w:cs="Times New Roman"/>
          <w:color w:val="003366"/>
          <w:lang w:eastAsia="pl-PL"/>
        </w:rPr>
        <w:t>pkt</w:t>
      </w:r>
      <w:proofErr w:type="spellEnd"/>
      <w:r w:rsidRPr="0091303E">
        <w:rPr>
          <w:rFonts w:ascii="Trebuchet MS" w:eastAsia="Times New Roman" w:hAnsi="Trebuchet MS" w:cs="Times New Roman"/>
          <w:color w:val="003366"/>
          <w:lang w:eastAsia="pl-PL"/>
        </w:rPr>
        <w:t xml:space="preserve"> 3</w:t>
      </w:r>
    </w:p>
    <w:p w:rsidR="0091303E" w:rsidRPr="0091303E" w:rsidRDefault="0091303E" w:rsidP="0091303E">
      <w:pPr>
        <w:shd w:val="clear" w:color="auto" w:fill="FFFFFF"/>
        <w:spacing w:before="0" w:beforeAutospacing="0" w:after="12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ustawy z dnia 6 września 2001 roku – Prawo Farmaceutyczne)</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 xml:space="preserve">a nie </w:t>
      </w:r>
      <w:proofErr w:type="spellStart"/>
      <w:r w:rsidRPr="00821A31">
        <w:rPr>
          <w:rFonts w:ascii="Trebuchet MS" w:eastAsia="Times New Roman" w:hAnsi="Trebuchet MS" w:cs="Times New Roman"/>
          <w:b/>
          <w:bCs/>
          <w:color w:val="003366"/>
          <w:lang w:eastAsia="pl-PL"/>
        </w:rPr>
        <w:t>usługąpielęgniarską</w:t>
      </w:r>
      <w:proofErr w:type="spellEnd"/>
      <w:r w:rsidRPr="00821A31">
        <w:rPr>
          <w:rFonts w:ascii="Trebuchet MS" w:eastAsia="Times New Roman" w:hAnsi="Trebuchet MS" w:cs="Times New Roman"/>
          <w:b/>
          <w:bCs/>
          <w:color w:val="003366"/>
          <w:lang w:eastAsia="pl-PL"/>
        </w:rPr>
        <w:t> </w:t>
      </w:r>
      <w:r w:rsidRPr="0091303E">
        <w:rPr>
          <w:rFonts w:ascii="Trebuchet MS" w:eastAsia="Times New Roman" w:hAnsi="Trebuchet MS" w:cs="Times New Roman"/>
          <w:color w:val="003366"/>
          <w:lang w:eastAsia="pl-PL"/>
        </w:rPr>
        <w:t>(Ustawa o zawodzie pielęgniarki i położnej).</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2.</w:t>
      </w:r>
      <w:r w:rsidRPr="00821A31">
        <w:rPr>
          <w:rFonts w:ascii="Times New Roman" w:eastAsia="Times New Roman" w:hAnsi="Times New Roman" w:cs="Times New Roman"/>
          <w:b/>
          <w:bCs/>
          <w:color w:val="003366"/>
          <w:lang w:eastAsia="pl-PL"/>
        </w:rPr>
        <w:t>      </w:t>
      </w:r>
      <w:r w:rsidRPr="00821A31">
        <w:rPr>
          <w:rFonts w:ascii="Trebuchet MS" w:eastAsia="Times New Roman" w:hAnsi="Trebuchet MS" w:cs="Times New Roman"/>
          <w:b/>
          <w:bCs/>
          <w:color w:val="003366"/>
          <w:lang w:eastAsia="pl-PL"/>
        </w:rPr>
        <w:t>Miejscem, w którym świadczone są</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usługi farmaceutyczne przez osoby uprawnione jest apteka,</w:t>
      </w:r>
      <w:r w:rsidRPr="0091303E">
        <w:rPr>
          <w:rFonts w:ascii="Trebuchet MS" w:eastAsia="Times New Roman" w:hAnsi="Trebuchet MS" w:cs="Times New Roman"/>
          <w:color w:val="003366"/>
          <w:lang w:eastAsia="pl-PL"/>
        </w:rPr>
        <w:t> a nie np. oddział szpitalny (art. 86 ust. 1 w/w ustawy).</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To apteka świadczy usługi w stosunku do np. oddziałów.</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3.</w:t>
      </w:r>
      <w:r w:rsidRPr="0091303E">
        <w:rPr>
          <w:rFonts w:ascii="Times New Roman" w:eastAsia="Times New Roman" w:hAnsi="Times New Roman" w:cs="Times New Roman"/>
          <w:color w:val="003366"/>
          <w:lang w:eastAsia="pl-PL"/>
        </w:rPr>
        <w:t>     </w:t>
      </w:r>
      <w:r w:rsidRPr="00821A31">
        <w:rPr>
          <w:rFonts w:ascii="Times New Roman" w:eastAsia="Times New Roman" w:hAnsi="Times New Roman" w:cs="Times New Roman"/>
          <w:color w:val="003366"/>
          <w:lang w:eastAsia="pl-PL"/>
        </w:rPr>
        <w:t> </w:t>
      </w:r>
      <w:r w:rsidRPr="00821A31">
        <w:rPr>
          <w:rFonts w:ascii="Trebuchet MS" w:eastAsia="Times New Roman" w:hAnsi="Trebuchet MS" w:cs="Times New Roman"/>
          <w:b/>
          <w:bCs/>
          <w:color w:val="003366"/>
          <w:lang w:eastAsia="pl-PL"/>
        </w:rPr>
        <w:t>Przy wykonywaniu w aptece czynności fachowych</w:t>
      </w:r>
      <w:r w:rsidRPr="00821A31">
        <w:rPr>
          <w:rFonts w:ascii="Trebuchet MS" w:eastAsia="Times New Roman" w:hAnsi="Trebuchet MS" w:cs="Times New Roman"/>
          <w:color w:val="003366"/>
          <w:lang w:eastAsia="pl-PL"/>
        </w:rPr>
        <w:t> </w:t>
      </w:r>
      <w:r w:rsidRPr="0091303E">
        <w:rPr>
          <w:rFonts w:ascii="Trebuchet MS" w:eastAsia="Times New Roman" w:hAnsi="Trebuchet MS" w:cs="Times New Roman"/>
          <w:color w:val="003366"/>
          <w:lang w:eastAsia="pl-PL"/>
        </w:rPr>
        <w:t>(usług farmaceutycznych) mogą być zatrudnieni wyłącznie</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farmaceuci i technicy farmaceutyczni</w:t>
      </w:r>
      <w:r w:rsidRPr="00821A31">
        <w:rPr>
          <w:rFonts w:ascii="Trebuchet MS" w:eastAsia="Times New Roman" w:hAnsi="Trebuchet MS" w:cs="Times New Roman"/>
          <w:color w:val="003366"/>
          <w:lang w:eastAsia="pl-PL"/>
        </w:rPr>
        <w:t> </w:t>
      </w:r>
      <w:r w:rsidRPr="0091303E">
        <w:rPr>
          <w:rFonts w:ascii="Trebuchet MS" w:eastAsia="Times New Roman" w:hAnsi="Trebuchet MS" w:cs="Times New Roman"/>
          <w:color w:val="003366"/>
          <w:lang w:eastAsia="pl-PL"/>
        </w:rPr>
        <w:t>(art. 90 w/w ustawy).</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4.</w:t>
      </w:r>
      <w:r w:rsidRPr="0091303E">
        <w:rPr>
          <w:rFonts w:ascii="Times New Roman" w:eastAsia="Times New Roman" w:hAnsi="Times New Roman" w:cs="Times New Roman"/>
          <w:color w:val="003366"/>
          <w:lang w:eastAsia="pl-PL"/>
        </w:rPr>
        <w:t>     </w:t>
      </w:r>
      <w:r w:rsidRPr="00821A31">
        <w:rPr>
          <w:rFonts w:ascii="Times New Roman" w:eastAsia="Times New Roman" w:hAnsi="Times New Roman" w:cs="Times New Roman"/>
          <w:color w:val="003366"/>
          <w:lang w:eastAsia="pl-PL"/>
        </w:rPr>
        <w:t> </w:t>
      </w:r>
      <w:r w:rsidRPr="00821A31">
        <w:rPr>
          <w:rFonts w:ascii="Trebuchet MS" w:eastAsia="Times New Roman" w:hAnsi="Trebuchet MS" w:cs="Times New Roman"/>
          <w:b/>
          <w:bCs/>
          <w:color w:val="003366"/>
          <w:lang w:eastAsia="pl-PL"/>
        </w:rPr>
        <w:t>Leki cytostatyczne ze względu na swoje właściwości</w:t>
      </w:r>
      <w:r w:rsidRPr="00821A31">
        <w:rPr>
          <w:rFonts w:ascii="Trebuchet MS" w:eastAsia="Times New Roman" w:hAnsi="Trebuchet MS" w:cs="Times New Roman"/>
          <w:color w:val="003366"/>
          <w:lang w:eastAsia="pl-PL"/>
        </w:rPr>
        <w:t> </w:t>
      </w:r>
      <w:r w:rsidRPr="0091303E">
        <w:rPr>
          <w:rFonts w:ascii="Trebuchet MS" w:eastAsia="Times New Roman" w:hAnsi="Trebuchet MS" w:cs="Times New Roman"/>
          <w:color w:val="003366"/>
          <w:lang w:eastAsia="pl-PL"/>
        </w:rPr>
        <w:t>(</w:t>
      </w:r>
      <w:proofErr w:type="spellStart"/>
      <w:r w:rsidRPr="0091303E">
        <w:rPr>
          <w:rFonts w:ascii="Trebuchet MS" w:eastAsia="Times New Roman" w:hAnsi="Trebuchet MS" w:cs="Times New Roman"/>
          <w:color w:val="003366"/>
          <w:lang w:eastAsia="pl-PL"/>
        </w:rPr>
        <w:t>karcynogenność</w:t>
      </w:r>
      <w:proofErr w:type="spellEnd"/>
      <w:r w:rsidRPr="0091303E">
        <w:rPr>
          <w:rFonts w:ascii="Trebuchet MS" w:eastAsia="Times New Roman" w:hAnsi="Trebuchet MS" w:cs="Times New Roman"/>
          <w:color w:val="003366"/>
          <w:lang w:eastAsia="pl-PL"/>
        </w:rPr>
        <w:t>, mutagenność, teratogenność i inne)</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muszą być przygotowywane przez farmaceutów w aptekach szpitalnych</w:t>
      </w:r>
      <w:r w:rsidRPr="0091303E">
        <w:rPr>
          <w:rFonts w:ascii="Trebuchet MS" w:eastAsia="Times New Roman" w:hAnsi="Trebuchet MS" w:cs="Times New Roman"/>
          <w:color w:val="003366"/>
          <w:lang w:eastAsia="pl-PL"/>
        </w:rPr>
        <w:t>. Wiele z nich należy do</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wykazu</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A (leków bardzo silnie działających)</w:t>
      </w:r>
      <w:r w:rsidRPr="00821A31">
        <w:rPr>
          <w:rFonts w:ascii="Trebuchet MS" w:eastAsia="Times New Roman" w:hAnsi="Trebuchet MS" w:cs="Times New Roman"/>
          <w:color w:val="003366"/>
          <w:lang w:eastAsia="pl-PL"/>
        </w:rPr>
        <w:t> </w:t>
      </w:r>
      <w:r w:rsidRPr="0091303E">
        <w:rPr>
          <w:rFonts w:ascii="Trebuchet MS" w:eastAsia="Times New Roman" w:hAnsi="Trebuchet MS" w:cs="Times New Roman"/>
          <w:color w:val="003366"/>
          <w:lang w:eastAsia="pl-PL"/>
        </w:rPr>
        <w:t xml:space="preserve">jak np.: </w:t>
      </w:r>
      <w:proofErr w:type="spellStart"/>
      <w:r w:rsidRPr="0091303E">
        <w:rPr>
          <w:rFonts w:ascii="Trebuchet MS" w:eastAsia="Times New Roman" w:hAnsi="Trebuchet MS" w:cs="Times New Roman"/>
          <w:color w:val="003366"/>
          <w:lang w:eastAsia="pl-PL"/>
        </w:rPr>
        <w:t>Cyclophosphamidum</w:t>
      </w:r>
      <w:proofErr w:type="spellEnd"/>
      <w:r w:rsidRPr="0091303E">
        <w:rPr>
          <w:rFonts w:ascii="Trebuchet MS" w:eastAsia="Times New Roman" w:hAnsi="Trebuchet MS" w:cs="Times New Roman"/>
          <w:color w:val="003366"/>
          <w:lang w:eastAsia="pl-PL"/>
        </w:rPr>
        <w:t xml:space="preserve">, </w:t>
      </w:r>
      <w:proofErr w:type="spellStart"/>
      <w:r w:rsidRPr="0091303E">
        <w:rPr>
          <w:rFonts w:ascii="Trebuchet MS" w:eastAsia="Times New Roman" w:hAnsi="Trebuchet MS" w:cs="Times New Roman"/>
          <w:color w:val="003366"/>
          <w:lang w:eastAsia="pl-PL"/>
        </w:rPr>
        <w:t>Cytarabinum</w:t>
      </w:r>
      <w:proofErr w:type="spellEnd"/>
      <w:r w:rsidRPr="0091303E">
        <w:rPr>
          <w:rFonts w:ascii="Trebuchet MS" w:eastAsia="Times New Roman" w:hAnsi="Trebuchet MS" w:cs="Times New Roman"/>
          <w:color w:val="003366"/>
          <w:lang w:eastAsia="pl-PL"/>
        </w:rPr>
        <w:t xml:space="preserve">, </w:t>
      </w:r>
      <w:proofErr w:type="spellStart"/>
      <w:r w:rsidRPr="0091303E">
        <w:rPr>
          <w:rFonts w:ascii="Trebuchet MS" w:eastAsia="Times New Roman" w:hAnsi="Trebuchet MS" w:cs="Times New Roman"/>
          <w:color w:val="003366"/>
          <w:lang w:eastAsia="pl-PL"/>
        </w:rPr>
        <w:t>Dactinomycinum</w:t>
      </w:r>
      <w:proofErr w:type="spellEnd"/>
      <w:r w:rsidRPr="0091303E">
        <w:rPr>
          <w:rFonts w:ascii="Trebuchet MS" w:eastAsia="Times New Roman" w:hAnsi="Trebuchet MS" w:cs="Times New Roman"/>
          <w:color w:val="003366"/>
          <w:lang w:eastAsia="pl-PL"/>
        </w:rPr>
        <w:t xml:space="preserve">, </w:t>
      </w:r>
      <w:proofErr w:type="spellStart"/>
      <w:r w:rsidRPr="0091303E">
        <w:rPr>
          <w:rFonts w:ascii="Trebuchet MS" w:eastAsia="Times New Roman" w:hAnsi="Trebuchet MS" w:cs="Times New Roman"/>
          <w:color w:val="003366"/>
          <w:lang w:eastAsia="pl-PL"/>
        </w:rPr>
        <w:t>Dacarbazinum</w:t>
      </w:r>
      <w:proofErr w:type="spellEnd"/>
      <w:r w:rsidRPr="0091303E">
        <w:rPr>
          <w:rFonts w:ascii="Trebuchet MS" w:eastAsia="Times New Roman" w:hAnsi="Trebuchet MS" w:cs="Times New Roman"/>
          <w:color w:val="003366"/>
          <w:lang w:eastAsia="pl-PL"/>
        </w:rPr>
        <w:t xml:space="preserve">, </w:t>
      </w:r>
      <w:proofErr w:type="spellStart"/>
      <w:r w:rsidRPr="0091303E">
        <w:rPr>
          <w:rFonts w:ascii="Trebuchet MS" w:eastAsia="Times New Roman" w:hAnsi="Trebuchet MS" w:cs="Times New Roman"/>
          <w:color w:val="003366"/>
          <w:lang w:eastAsia="pl-PL"/>
        </w:rPr>
        <w:t>Doxorubicinum</w:t>
      </w:r>
      <w:proofErr w:type="spellEnd"/>
      <w:r w:rsidRPr="0091303E">
        <w:rPr>
          <w:rFonts w:ascii="Trebuchet MS" w:eastAsia="Times New Roman" w:hAnsi="Trebuchet MS" w:cs="Times New Roman"/>
          <w:color w:val="003366"/>
          <w:lang w:eastAsia="pl-PL"/>
        </w:rPr>
        <w:t xml:space="preserve">, </w:t>
      </w:r>
      <w:proofErr w:type="spellStart"/>
      <w:r w:rsidRPr="0091303E">
        <w:rPr>
          <w:rFonts w:ascii="Trebuchet MS" w:eastAsia="Times New Roman" w:hAnsi="Trebuchet MS" w:cs="Times New Roman"/>
          <w:color w:val="003366"/>
          <w:lang w:eastAsia="pl-PL"/>
        </w:rPr>
        <w:t>Fluorouracilum</w:t>
      </w:r>
      <w:proofErr w:type="spellEnd"/>
      <w:r w:rsidRPr="0091303E">
        <w:rPr>
          <w:rFonts w:ascii="Trebuchet MS" w:eastAsia="Times New Roman" w:hAnsi="Trebuchet MS" w:cs="Times New Roman"/>
          <w:color w:val="003366"/>
          <w:lang w:eastAsia="pl-PL"/>
        </w:rPr>
        <w:t xml:space="preserve">, </w:t>
      </w:r>
      <w:proofErr w:type="spellStart"/>
      <w:r w:rsidRPr="0091303E">
        <w:rPr>
          <w:rFonts w:ascii="Trebuchet MS" w:eastAsia="Times New Roman" w:hAnsi="Trebuchet MS" w:cs="Times New Roman"/>
          <w:color w:val="003366"/>
          <w:lang w:eastAsia="pl-PL"/>
        </w:rPr>
        <w:t>Vinblastinum</w:t>
      </w:r>
      <w:proofErr w:type="spellEnd"/>
      <w:r w:rsidRPr="0091303E">
        <w:rPr>
          <w:rFonts w:ascii="Trebuchet MS" w:eastAsia="Times New Roman" w:hAnsi="Trebuchet MS" w:cs="Times New Roman"/>
          <w:color w:val="003366"/>
          <w:lang w:eastAsia="pl-PL"/>
        </w:rPr>
        <w:t xml:space="preserve">, </w:t>
      </w:r>
      <w:proofErr w:type="spellStart"/>
      <w:r w:rsidRPr="0091303E">
        <w:rPr>
          <w:rFonts w:ascii="Trebuchet MS" w:eastAsia="Times New Roman" w:hAnsi="Trebuchet MS" w:cs="Times New Roman"/>
          <w:color w:val="003366"/>
          <w:lang w:eastAsia="pl-PL"/>
        </w:rPr>
        <w:t>Vincristinum</w:t>
      </w:r>
      <w:proofErr w:type="spellEnd"/>
      <w:r w:rsidRPr="0091303E">
        <w:rPr>
          <w:rFonts w:ascii="Trebuchet MS" w:eastAsia="Times New Roman" w:hAnsi="Trebuchet MS" w:cs="Times New Roman"/>
          <w:color w:val="003366"/>
          <w:lang w:eastAsia="pl-PL"/>
        </w:rPr>
        <w:t>).</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5.</w:t>
      </w:r>
      <w:r w:rsidRPr="00821A31">
        <w:rPr>
          <w:rFonts w:ascii="Times New Roman" w:eastAsia="Times New Roman" w:hAnsi="Times New Roman" w:cs="Times New Roman"/>
          <w:b/>
          <w:bCs/>
          <w:color w:val="003366"/>
          <w:lang w:eastAsia="pl-PL"/>
        </w:rPr>
        <w:t>      </w:t>
      </w:r>
      <w:r w:rsidRPr="00821A31">
        <w:rPr>
          <w:rFonts w:ascii="Trebuchet MS" w:eastAsia="Times New Roman" w:hAnsi="Trebuchet MS" w:cs="Times New Roman"/>
          <w:b/>
          <w:bCs/>
          <w:color w:val="003366"/>
          <w:lang w:eastAsia="pl-PL"/>
        </w:rPr>
        <w:t xml:space="preserve">Roztwory </w:t>
      </w:r>
      <w:proofErr w:type="spellStart"/>
      <w:r w:rsidRPr="00821A31">
        <w:rPr>
          <w:rFonts w:ascii="Trebuchet MS" w:eastAsia="Times New Roman" w:hAnsi="Trebuchet MS" w:cs="Times New Roman"/>
          <w:b/>
          <w:bCs/>
          <w:color w:val="003366"/>
          <w:lang w:eastAsia="pl-PL"/>
        </w:rPr>
        <w:t>cytostatyków</w:t>
      </w:r>
      <w:proofErr w:type="spellEnd"/>
      <w:r w:rsidRPr="00821A31">
        <w:rPr>
          <w:rFonts w:ascii="Trebuchet MS" w:eastAsia="Times New Roman" w:hAnsi="Trebuchet MS" w:cs="Times New Roman"/>
          <w:b/>
          <w:bCs/>
          <w:color w:val="003366"/>
          <w:lang w:eastAsia="pl-PL"/>
        </w:rPr>
        <w:t xml:space="preserve"> muszą spełniać wymogi stawiane lekom parenteralnym. Muszą być przygotowywane zgodnie z zasadami GMP.</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6.</w:t>
      </w:r>
      <w:r w:rsidRPr="0091303E">
        <w:rPr>
          <w:rFonts w:ascii="Times New Roman" w:eastAsia="Times New Roman" w:hAnsi="Times New Roman" w:cs="Times New Roman"/>
          <w:color w:val="003366"/>
          <w:lang w:eastAsia="pl-PL"/>
        </w:rPr>
        <w:t>     </w:t>
      </w:r>
      <w:r w:rsidRPr="00821A31">
        <w:rPr>
          <w:rFonts w:ascii="Times New Roman" w:eastAsia="Times New Roman" w:hAnsi="Times New Roman" w:cs="Times New Roman"/>
          <w:color w:val="003366"/>
          <w:lang w:eastAsia="pl-PL"/>
        </w:rPr>
        <w:t> </w:t>
      </w:r>
      <w:r w:rsidRPr="00821A31">
        <w:rPr>
          <w:rFonts w:ascii="Trebuchet MS" w:eastAsia="Times New Roman" w:hAnsi="Trebuchet MS" w:cs="Times New Roman"/>
          <w:b/>
          <w:bCs/>
          <w:color w:val="003366"/>
          <w:lang w:eastAsia="pl-PL"/>
        </w:rPr>
        <w:t xml:space="preserve">Jedynie farmaceuci posiadają merytoryczne przygotowanie do sporządzania leków, w tym parenteralnych. Poza znajomością technik przygotowywania leków (w tym </w:t>
      </w:r>
      <w:proofErr w:type="spellStart"/>
      <w:r w:rsidRPr="00821A31">
        <w:rPr>
          <w:rFonts w:ascii="Trebuchet MS" w:eastAsia="Times New Roman" w:hAnsi="Trebuchet MS" w:cs="Times New Roman"/>
          <w:b/>
          <w:bCs/>
          <w:color w:val="003366"/>
          <w:lang w:eastAsia="pl-PL"/>
        </w:rPr>
        <w:t>cytostatyków</w:t>
      </w:r>
      <w:proofErr w:type="spellEnd"/>
      <w:r w:rsidRPr="00821A31">
        <w:rPr>
          <w:rFonts w:ascii="Trebuchet MS" w:eastAsia="Times New Roman" w:hAnsi="Trebuchet MS" w:cs="Times New Roman"/>
          <w:b/>
          <w:bCs/>
          <w:color w:val="003366"/>
          <w:lang w:eastAsia="pl-PL"/>
        </w:rPr>
        <w:t xml:space="preserve">) pozyskiwaną w trakcie studiów farmaceutycznych, posiadają też wiedzę merytoryczną obejmującą znajomość farmakologii, farmakokinetyki, właściwości fizyczno-chemiczne </w:t>
      </w:r>
      <w:proofErr w:type="spellStart"/>
      <w:r w:rsidRPr="00821A31">
        <w:rPr>
          <w:rFonts w:ascii="Trebuchet MS" w:eastAsia="Times New Roman" w:hAnsi="Trebuchet MS" w:cs="Times New Roman"/>
          <w:b/>
          <w:bCs/>
          <w:color w:val="003366"/>
          <w:lang w:eastAsia="pl-PL"/>
        </w:rPr>
        <w:t>cytostatyków</w:t>
      </w:r>
      <w:proofErr w:type="spellEnd"/>
      <w:r w:rsidRPr="0091303E">
        <w:rPr>
          <w:rFonts w:ascii="Trebuchet MS" w:eastAsia="Times New Roman" w:hAnsi="Trebuchet MS" w:cs="Times New Roman"/>
          <w:color w:val="003366"/>
          <w:lang w:eastAsia="pl-PL"/>
        </w:rPr>
        <w:t>.</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xml:space="preserve">      Każda z postaci leku (roztwór, </w:t>
      </w:r>
      <w:proofErr w:type="spellStart"/>
      <w:r w:rsidRPr="00821A31">
        <w:rPr>
          <w:rFonts w:ascii="Trebuchet MS" w:eastAsia="Times New Roman" w:hAnsi="Trebuchet MS" w:cs="Times New Roman"/>
          <w:b/>
          <w:bCs/>
          <w:color w:val="003366"/>
          <w:lang w:eastAsia="pl-PL"/>
        </w:rPr>
        <w:t>liofilizat</w:t>
      </w:r>
      <w:proofErr w:type="spellEnd"/>
      <w:r w:rsidRPr="00821A31">
        <w:rPr>
          <w:rFonts w:ascii="Trebuchet MS" w:eastAsia="Times New Roman" w:hAnsi="Trebuchet MS" w:cs="Times New Roman"/>
          <w:b/>
          <w:bCs/>
          <w:color w:val="003366"/>
          <w:lang w:eastAsia="pl-PL"/>
        </w:rPr>
        <w:t>) wymaga innego sposobu przygotowywania.</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Należy pamiętać też, że ujęte substancje pomocnicze nie mogą wywierać własnego działania farmakologicznego, wchodzić w interakcje, ani też wpływać niekorzystnie na trwałość i dostępność biologiczną leku.</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Znajomość zagadnień takich jak stężenie maksymalne, iloczyn rozpuszczalności, stabilność po rozpuszczeniu, dobór rozpuszczalnika czy dobór opakowania</w:t>
      </w:r>
      <w:r w:rsidRPr="00821A31">
        <w:rPr>
          <w:rFonts w:ascii="Trebuchet MS" w:eastAsia="Times New Roman" w:hAnsi="Trebuchet MS" w:cs="Times New Roman"/>
          <w:color w:val="003366"/>
          <w:lang w:eastAsia="pl-PL"/>
        </w:rPr>
        <w:t> </w:t>
      </w:r>
      <w:r w:rsidRPr="0091303E">
        <w:rPr>
          <w:rFonts w:ascii="Trebuchet MS" w:eastAsia="Times New Roman" w:hAnsi="Trebuchet MS" w:cs="Times New Roman"/>
          <w:color w:val="003366"/>
          <w:lang w:eastAsia="pl-PL"/>
        </w:rPr>
        <w:t>(PVP, PCV, szkło)</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jest podstawą prawidłowej pracy z cytostatykami i posiadana jest przez farmaceutów, a nie przez pielęgniarki.</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Dopiero jednoczesne spełnienie wszystkich tych wymogów może zagwarantować oczekiwaną jakość produktu końcowego – a to wszystko możliwe jest dzięki posiadaniu w aptekach pracowni cytostatycznych.</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Tylko apteka daje gwarancje, że pacjent otrzyma lek bezpieczny i pełnowartościowy, </w:t>
      </w:r>
      <w:r w:rsidRPr="0091303E">
        <w:rPr>
          <w:rFonts w:ascii="Trebuchet MS" w:eastAsia="Times New Roman" w:hAnsi="Trebuchet MS" w:cs="Times New Roman"/>
          <w:color w:val="003366"/>
          <w:lang w:eastAsia="pl-PL"/>
        </w:rPr>
        <w:t>a lek zostanie przygotowany bez narażenia zdrowia człowieka i bezpieczeństwa środowiska.</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lastRenderedPageBreak/>
        <w:t> </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7.</w:t>
      </w:r>
      <w:r w:rsidRPr="00821A31">
        <w:rPr>
          <w:rFonts w:ascii="Times New Roman" w:eastAsia="Times New Roman" w:hAnsi="Times New Roman" w:cs="Times New Roman"/>
          <w:b/>
          <w:bCs/>
          <w:color w:val="003366"/>
          <w:lang w:eastAsia="pl-PL"/>
        </w:rPr>
        <w:t>      </w:t>
      </w:r>
      <w:r w:rsidRPr="00821A31">
        <w:rPr>
          <w:rFonts w:ascii="Trebuchet MS" w:eastAsia="Times New Roman" w:hAnsi="Trebuchet MS" w:cs="Times New Roman"/>
          <w:b/>
          <w:bCs/>
          <w:color w:val="003366"/>
          <w:lang w:eastAsia="pl-PL"/>
        </w:rPr>
        <w:t>W wielu ośrodkach, począwszy od 2001 roku powstało i cały czas powstają Centralne Pracownie Leków Cytostatycznych, prowadzone przez farmaceutów (np. Szpital Uniwersytecki w Krakowie, w Gdańsku, Poznaniu, Bydgoszczy, Gdyni</w:t>
      </w:r>
      <w:r w:rsidRPr="0091303E">
        <w:rPr>
          <w:rFonts w:ascii="Trebuchet MS" w:eastAsia="Times New Roman" w:hAnsi="Trebuchet MS" w:cs="Times New Roman"/>
          <w:color w:val="003366"/>
          <w:lang w:eastAsia="pl-PL"/>
        </w:rPr>
        <w:t>).</w:t>
      </w:r>
      <w:r w:rsidRPr="00821A31">
        <w:rPr>
          <w:rFonts w:ascii="Trebuchet MS" w:eastAsia="Times New Roman" w:hAnsi="Trebuchet MS" w:cs="Times New Roman"/>
          <w:color w:val="003366"/>
          <w:lang w:eastAsia="pl-PL"/>
        </w:rPr>
        <w:t> </w:t>
      </w:r>
      <w:r w:rsidRPr="00821A31">
        <w:rPr>
          <w:rFonts w:ascii="Trebuchet MS" w:eastAsia="Times New Roman" w:hAnsi="Trebuchet MS" w:cs="Times New Roman"/>
          <w:b/>
          <w:bCs/>
          <w:color w:val="003366"/>
          <w:lang w:eastAsia="pl-PL"/>
        </w:rPr>
        <w:t>W ośrodkach tych studenci farmacji nabywają praktyki z technologii sporządzania leków cytostatycznych.</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W ośrodkach tych zostały wdrożone procedury (instrukcje) postępowania przy przygotowywaniu preparatów cytostatycznych.</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u w:val="single"/>
          <w:lang w:eastAsia="pl-PL"/>
        </w:rPr>
        <w:t>Polecam wydania</w:t>
      </w:r>
      <w:r w:rsidRPr="0091303E">
        <w:rPr>
          <w:rFonts w:ascii="Trebuchet MS" w:eastAsia="Times New Roman" w:hAnsi="Trebuchet MS" w:cs="Times New Roman"/>
          <w:color w:val="003366"/>
          <w:lang w:eastAsia="pl-PL"/>
        </w:rPr>
        <w:t>:</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w:t>
      </w:r>
      <w:r w:rsidRPr="0091303E">
        <w:rPr>
          <w:rFonts w:ascii="Times New Roman" w:eastAsia="Times New Roman" w:hAnsi="Times New Roman" w:cs="Times New Roman"/>
          <w:color w:val="003366"/>
          <w:lang w:eastAsia="pl-PL"/>
        </w:rPr>
        <w:t>       </w:t>
      </w:r>
      <w:r w:rsidRPr="00821A31">
        <w:rPr>
          <w:rFonts w:ascii="Times New Roman" w:eastAsia="Times New Roman" w:hAnsi="Times New Roman" w:cs="Times New Roman"/>
          <w:color w:val="003366"/>
          <w:lang w:eastAsia="pl-PL"/>
        </w:rPr>
        <w:t> </w:t>
      </w:r>
      <w:r w:rsidRPr="0091303E">
        <w:rPr>
          <w:rFonts w:ascii="Trebuchet MS" w:eastAsia="Times New Roman" w:hAnsi="Trebuchet MS" w:cs="Times New Roman"/>
          <w:color w:val="003366"/>
          <w:lang w:eastAsia="pl-PL"/>
        </w:rPr>
        <w:t>„</w:t>
      </w:r>
      <w:r w:rsidRPr="00821A31">
        <w:rPr>
          <w:rFonts w:ascii="Trebuchet MS" w:eastAsia="Times New Roman" w:hAnsi="Trebuchet MS" w:cs="Times New Roman"/>
          <w:b/>
          <w:bCs/>
          <w:color w:val="003366"/>
          <w:lang w:eastAsia="pl-PL"/>
        </w:rPr>
        <w:t>Zasady przygotowywania leków cytostatycznych oraz organizacja pracowni</w:t>
      </w:r>
      <w:r w:rsidRPr="0091303E">
        <w:rPr>
          <w:rFonts w:ascii="Trebuchet MS" w:eastAsia="Times New Roman" w:hAnsi="Trebuchet MS" w:cs="Times New Roman"/>
          <w:color w:val="003366"/>
          <w:lang w:eastAsia="pl-PL"/>
        </w:rPr>
        <w:t xml:space="preserve">” autorstwa Krystyny </w:t>
      </w:r>
      <w:proofErr w:type="spellStart"/>
      <w:r w:rsidRPr="0091303E">
        <w:rPr>
          <w:rFonts w:ascii="Trebuchet MS" w:eastAsia="Times New Roman" w:hAnsi="Trebuchet MS" w:cs="Times New Roman"/>
          <w:color w:val="003366"/>
          <w:lang w:eastAsia="pl-PL"/>
        </w:rPr>
        <w:t>Chmal-Jagiełło</w:t>
      </w:r>
      <w:proofErr w:type="spellEnd"/>
      <w:r w:rsidRPr="0091303E">
        <w:rPr>
          <w:rFonts w:ascii="Trebuchet MS" w:eastAsia="Times New Roman" w:hAnsi="Trebuchet MS" w:cs="Times New Roman"/>
          <w:color w:val="003366"/>
          <w:lang w:eastAsia="pl-PL"/>
        </w:rPr>
        <w:t xml:space="preserve">, Teresy Czekaj, Jacka </w:t>
      </w:r>
      <w:proofErr w:type="spellStart"/>
      <w:r w:rsidRPr="0091303E">
        <w:rPr>
          <w:rFonts w:ascii="Trebuchet MS" w:eastAsia="Times New Roman" w:hAnsi="Trebuchet MS" w:cs="Times New Roman"/>
          <w:color w:val="003366"/>
          <w:lang w:eastAsia="pl-PL"/>
        </w:rPr>
        <w:t>Pomadowskiego</w:t>
      </w:r>
      <w:proofErr w:type="spellEnd"/>
      <w:r w:rsidRPr="0091303E">
        <w:rPr>
          <w:rFonts w:ascii="Trebuchet MS" w:eastAsia="Times New Roman" w:hAnsi="Trebuchet MS" w:cs="Times New Roman"/>
          <w:color w:val="003366"/>
          <w:lang w:eastAsia="pl-PL"/>
        </w:rPr>
        <w:t>,</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w:t>
      </w:r>
      <w:r w:rsidRPr="0091303E">
        <w:rPr>
          <w:rFonts w:ascii="Times New Roman" w:eastAsia="Times New Roman" w:hAnsi="Times New Roman" w:cs="Times New Roman"/>
          <w:color w:val="003366"/>
          <w:lang w:eastAsia="pl-PL"/>
        </w:rPr>
        <w:t>       </w:t>
      </w:r>
      <w:r w:rsidRPr="00821A31">
        <w:rPr>
          <w:rFonts w:ascii="Times New Roman" w:eastAsia="Times New Roman" w:hAnsi="Times New Roman" w:cs="Times New Roman"/>
          <w:color w:val="003366"/>
          <w:lang w:eastAsia="pl-PL"/>
        </w:rPr>
        <w:t> </w:t>
      </w:r>
      <w:r w:rsidRPr="0091303E">
        <w:rPr>
          <w:rFonts w:ascii="Trebuchet MS" w:eastAsia="Times New Roman" w:hAnsi="Trebuchet MS" w:cs="Times New Roman"/>
          <w:color w:val="003366"/>
          <w:lang w:eastAsia="pl-PL"/>
        </w:rPr>
        <w:t>„</w:t>
      </w:r>
      <w:r w:rsidRPr="00821A31">
        <w:rPr>
          <w:rFonts w:ascii="Trebuchet MS" w:eastAsia="Times New Roman" w:hAnsi="Trebuchet MS" w:cs="Times New Roman"/>
          <w:b/>
          <w:bCs/>
          <w:color w:val="003366"/>
          <w:lang w:eastAsia="pl-PL"/>
        </w:rPr>
        <w:t>Nowa aktywność farmaceutów. Przygotowywanie leków cytostatycznych w aptece szpitalne</w:t>
      </w:r>
      <w:r w:rsidRPr="0091303E">
        <w:rPr>
          <w:rFonts w:ascii="Trebuchet MS" w:eastAsia="Times New Roman" w:hAnsi="Trebuchet MS" w:cs="Times New Roman"/>
          <w:color w:val="003366"/>
          <w:lang w:eastAsia="pl-PL"/>
        </w:rPr>
        <w:t>j” autorstwa Hanny Jankowiak-Gracz,</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w:t>
      </w:r>
      <w:r w:rsidRPr="0091303E">
        <w:rPr>
          <w:rFonts w:ascii="Times New Roman" w:eastAsia="Times New Roman" w:hAnsi="Times New Roman" w:cs="Times New Roman"/>
          <w:color w:val="003366"/>
          <w:lang w:eastAsia="pl-PL"/>
        </w:rPr>
        <w:t>       </w:t>
      </w:r>
      <w:r w:rsidRPr="00821A31">
        <w:rPr>
          <w:rFonts w:ascii="Times New Roman" w:eastAsia="Times New Roman" w:hAnsi="Times New Roman" w:cs="Times New Roman"/>
          <w:color w:val="003366"/>
          <w:lang w:eastAsia="pl-PL"/>
        </w:rPr>
        <w:t> </w:t>
      </w:r>
      <w:r w:rsidRPr="0091303E">
        <w:rPr>
          <w:rFonts w:ascii="Trebuchet MS" w:eastAsia="Times New Roman" w:hAnsi="Trebuchet MS" w:cs="Times New Roman"/>
          <w:color w:val="003366"/>
          <w:lang w:eastAsia="pl-PL"/>
        </w:rPr>
        <w:t>„</w:t>
      </w:r>
      <w:r w:rsidRPr="00821A31">
        <w:rPr>
          <w:rFonts w:ascii="Trebuchet MS" w:eastAsia="Times New Roman" w:hAnsi="Trebuchet MS" w:cs="Times New Roman"/>
          <w:b/>
          <w:bCs/>
          <w:color w:val="003366"/>
          <w:lang w:eastAsia="pl-PL"/>
        </w:rPr>
        <w:t>Standardy jakościowe w farmacji onkologicznej</w:t>
      </w:r>
      <w:r w:rsidRPr="0091303E">
        <w:rPr>
          <w:rFonts w:ascii="Trebuchet MS" w:eastAsia="Times New Roman" w:hAnsi="Trebuchet MS" w:cs="Times New Roman"/>
          <w:color w:val="003366"/>
          <w:lang w:eastAsia="pl-PL"/>
        </w:rPr>
        <w:t>” autorstwa Krystyny</w:t>
      </w:r>
      <w:r w:rsidRPr="00821A31">
        <w:rPr>
          <w:rFonts w:ascii="Trebuchet MS" w:eastAsia="Times New Roman" w:hAnsi="Trebuchet MS" w:cs="Times New Roman"/>
          <w:color w:val="003366"/>
          <w:lang w:eastAsia="pl-PL"/>
        </w:rPr>
        <w:t> </w:t>
      </w:r>
      <w:proofErr w:type="spellStart"/>
      <w:r w:rsidRPr="0091303E">
        <w:rPr>
          <w:rFonts w:ascii="Trebuchet MS" w:eastAsia="Times New Roman" w:hAnsi="Trebuchet MS" w:cs="Times New Roman"/>
          <w:color w:val="003366"/>
          <w:lang w:eastAsia="pl-PL"/>
        </w:rPr>
        <w:t>Chmal-Jagiełło</w:t>
      </w:r>
      <w:proofErr w:type="spellEnd"/>
      <w:r w:rsidRPr="0091303E">
        <w:rPr>
          <w:rFonts w:ascii="Trebuchet MS" w:eastAsia="Times New Roman" w:hAnsi="Trebuchet MS" w:cs="Times New Roman"/>
          <w:color w:val="003366"/>
          <w:lang w:eastAsia="pl-PL"/>
        </w:rPr>
        <w:t>, Hanny Jankowiak-Gracz, Hanny Kuźniar – zatwierdzone</w:t>
      </w:r>
      <w:r w:rsidRPr="00821A31">
        <w:rPr>
          <w:rFonts w:ascii="Trebuchet MS" w:eastAsia="Times New Roman" w:hAnsi="Trebuchet MS" w:cs="Times New Roman"/>
          <w:color w:val="003366"/>
          <w:lang w:eastAsia="pl-PL"/>
        </w:rPr>
        <w:t> </w:t>
      </w:r>
      <w:r w:rsidRPr="0091303E">
        <w:rPr>
          <w:rFonts w:ascii="Trebuchet MS" w:eastAsia="Times New Roman" w:hAnsi="Trebuchet MS" w:cs="Times New Roman"/>
          <w:color w:val="003366"/>
          <w:lang w:eastAsia="pl-PL"/>
        </w:rPr>
        <w:t>przez Europejskie Stowarzyszenie Farmaceutów Onkologicznych ESOP</w:t>
      </w:r>
      <w:r w:rsidRPr="00821A31">
        <w:rPr>
          <w:rFonts w:ascii="Trebuchet MS" w:eastAsia="Times New Roman" w:hAnsi="Trebuchet MS" w:cs="Times New Roman"/>
          <w:color w:val="003366"/>
          <w:lang w:eastAsia="pl-PL"/>
        </w:rPr>
        <w:t> </w:t>
      </w:r>
      <w:r w:rsidRPr="0091303E">
        <w:rPr>
          <w:rFonts w:ascii="Trebuchet MS" w:eastAsia="Times New Roman" w:hAnsi="Trebuchet MS" w:cs="Times New Roman"/>
          <w:color w:val="003366"/>
          <w:lang w:eastAsia="pl-PL"/>
        </w:rPr>
        <w:t>(01.2003).</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p>
    <w:p w:rsidR="0091303E" w:rsidRPr="0091303E" w:rsidRDefault="0091303E" w:rsidP="0091303E">
      <w:pPr>
        <w:shd w:val="clear" w:color="auto" w:fill="FFFFFF"/>
        <w:spacing w:before="0" w:beforeAutospacing="0" w:after="0" w:line="270" w:lineRule="atLeast"/>
        <w:ind w:hanging="360"/>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8.</w:t>
      </w:r>
      <w:r w:rsidRPr="00821A31">
        <w:rPr>
          <w:rFonts w:ascii="Times New Roman" w:eastAsia="Times New Roman" w:hAnsi="Times New Roman" w:cs="Times New Roman"/>
          <w:b/>
          <w:bCs/>
          <w:color w:val="003366"/>
          <w:lang w:eastAsia="pl-PL"/>
        </w:rPr>
        <w:t>      </w:t>
      </w:r>
      <w:r w:rsidRPr="00821A31">
        <w:rPr>
          <w:rFonts w:ascii="Trebuchet MS" w:eastAsia="Times New Roman" w:hAnsi="Trebuchet MS" w:cs="Times New Roman"/>
          <w:b/>
          <w:bCs/>
          <w:color w:val="003366"/>
          <w:u w:val="single"/>
          <w:lang w:eastAsia="pl-PL"/>
        </w:rPr>
        <w:t xml:space="preserve">Centralne przygotowywanie </w:t>
      </w:r>
      <w:proofErr w:type="spellStart"/>
      <w:r w:rsidRPr="00821A31">
        <w:rPr>
          <w:rFonts w:ascii="Trebuchet MS" w:eastAsia="Times New Roman" w:hAnsi="Trebuchet MS" w:cs="Times New Roman"/>
          <w:b/>
          <w:bCs/>
          <w:color w:val="003366"/>
          <w:u w:val="single"/>
          <w:lang w:eastAsia="pl-PL"/>
        </w:rPr>
        <w:t>cytostatyków</w:t>
      </w:r>
      <w:proofErr w:type="spellEnd"/>
      <w:r w:rsidRPr="00821A31">
        <w:rPr>
          <w:rFonts w:ascii="Trebuchet MS" w:eastAsia="Times New Roman" w:hAnsi="Trebuchet MS" w:cs="Times New Roman"/>
          <w:b/>
          <w:bCs/>
          <w:color w:val="003366"/>
          <w:u w:val="single"/>
          <w:lang w:eastAsia="pl-PL"/>
        </w:rPr>
        <w:t xml:space="preserve">, dzięki wykorzystaniu </w:t>
      </w:r>
      <w:proofErr w:type="spellStart"/>
      <w:r w:rsidRPr="00821A31">
        <w:rPr>
          <w:rFonts w:ascii="Trebuchet MS" w:eastAsia="Times New Roman" w:hAnsi="Trebuchet MS" w:cs="Times New Roman"/>
          <w:b/>
          <w:bCs/>
          <w:color w:val="003366"/>
          <w:u w:val="single"/>
          <w:lang w:eastAsia="pl-PL"/>
        </w:rPr>
        <w:t>możliwiekażdego</w:t>
      </w:r>
      <w:proofErr w:type="spellEnd"/>
      <w:r w:rsidRPr="00821A31">
        <w:rPr>
          <w:rFonts w:ascii="Trebuchet MS" w:eastAsia="Times New Roman" w:hAnsi="Trebuchet MS" w:cs="Times New Roman"/>
          <w:b/>
          <w:bCs/>
          <w:color w:val="003366"/>
          <w:u w:val="single"/>
          <w:lang w:eastAsia="pl-PL"/>
        </w:rPr>
        <w:t xml:space="preserve"> miligrama substancji czynnej, odgrywa znaczną rolę w aspekcie ekonomicznym i oszczędnościowym dla budżetu szpitala, a to jest zgodnie z art. 86 ust. 3 </w:t>
      </w:r>
      <w:proofErr w:type="spellStart"/>
      <w:r w:rsidRPr="00821A31">
        <w:rPr>
          <w:rFonts w:ascii="Trebuchet MS" w:eastAsia="Times New Roman" w:hAnsi="Trebuchet MS" w:cs="Times New Roman"/>
          <w:b/>
          <w:bCs/>
          <w:color w:val="003366"/>
          <w:u w:val="single"/>
          <w:lang w:eastAsia="pl-PL"/>
        </w:rPr>
        <w:t>pkt</w:t>
      </w:r>
      <w:proofErr w:type="spellEnd"/>
      <w:r w:rsidRPr="00821A31">
        <w:rPr>
          <w:rFonts w:ascii="Trebuchet MS" w:eastAsia="Times New Roman" w:hAnsi="Trebuchet MS" w:cs="Times New Roman"/>
          <w:b/>
          <w:bCs/>
          <w:color w:val="003366"/>
          <w:u w:val="single"/>
          <w:lang w:eastAsia="pl-PL"/>
        </w:rPr>
        <w:t xml:space="preserve"> 9-10 w/w ustawy usługą farmaceutyczną.</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Uważam, że zapis Rozporządzenia Ministra Zdrowia, Ustawy Prawo Farmaceutyczne oraz przyjętej Dyrektywy należy jak najszybciej wprowadzić w życie.</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 </w:t>
      </w:r>
    </w:p>
    <w:p w:rsidR="0091303E" w:rsidRPr="0091303E" w:rsidRDefault="0091303E" w:rsidP="0091303E">
      <w:pPr>
        <w:shd w:val="clear" w:color="auto" w:fill="FFFFFF"/>
        <w:spacing w:before="0" w:beforeAutospacing="0" w:after="0" w:line="270" w:lineRule="atLeast"/>
        <w:rPr>
          <w:rFonts w:ascii="Trebuchet MS" w:eastAsia="Times New Roman" w:hAnsi="Trebuchet MS" w:cs="Times New Roman"/>
          <w:color w:val="000000"/>
          <w:lang w:eastAsia="pl-PL"/>
        </w:rPr>
      </w:pPr>
      <w:r w:rsidRPr="00821A31">
        <w:rPr>
          <w:rFonts w:ascii="Trebuchet MS" w:eastAsia="Times New Roman" w:hAnsi="Trebuchet MS" w:cs="Times New Roman"/>
          <w:b/>
          <w:bCs/>
          <w:color w:val="003366"/>
          <w:lang w:eastAsia="pl-PL"/>
        </w:rPr>
        <w:t>Bydgoszcz,10.01.2008</w:t>
      </w:r>
      <w:r w:rsidRPr="0091303E">
        <w:rPr>
          <w:rFonts w:ascii="Trebuchet MS" w:eastAsia="Times New Roman" w:hAnsi="Trebuchet MS" w:cs="Times New Roman"/>
          <w:color w:val="003366"/>
          <w:lang w:eastAsia="pl-PL"/>
        </w:rPr>
        <w:t>                                        </w:t>
      </w:r>
      <w:r w:rsidRPr="00821A31">
        <w:rPr>
          <w:rFonts w:ascii="Trebuchet MS" w:eastAsia="Times New Roman" w:hAnsi="Trebuchet MS" w:cs="Times New Roman"/>
          <w:color w:val="003366"/>
          <w:lang w:eastAsia="pl-PL"/>
        </w:rPr>
        <w:t xml:space="preserve">                                         </w:t>
      </w:r>
      <w:r w:rsidRPr="0091303E">
        <w:rPr>
          <w:rFonts w:ascii="Trebuchet MS" w:eastAsia="Times New Roman" w:hAnsi="Trebuchet MS" w:cs="Times New Roman"/>
          <w:color w:val="003366"/>
          <w:lang w:eastAsia="pl-PL"/>
        </w:rPr>
        <w:t>Dr n. med. Anna Koper</w:t>
      </w:r>
    </w:p>
    <w:p w:rsidR="0091303E" w:rsidRPr="0091303E" w:rsidRDefault="0091303E" w:rsidP="0091303E">
      <w:pPr>
        <w:shd w:val="clear" w:color="auto" w:fill="FFFFFF"/>
        <w:spacing w:before="0" w:beforeAutospacing="0" w:after="0" w:line="270" w:lineRule="atLeast"/>
        <w:jc w:val="right"/>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r w:rsidRPr="00821A31">
        <w:rPr>
          <w:rFonts w:ascii="Trebuchet MS" w:eastAsia="Times New Roman" w:hAnsi="Trebuchet MS" w:cs="Times New Roman"/>
          <w:color w:val="003366"/>
          <w:lang w:eastAsia="pl-PL"/>
        </w:rPr>
        <w:t>                            </w:t>
      </w:r>
      <w:r w:rsidRPr="0091303E">
        <w:rPr>
          <w:rFonts w:ascii="Trebuchet MS" w:eastAsia="Times New Roman" w:hAnsi="Trebuchet MS" w:cs="Times New Roman"/>
          <w:color w:val="003366"/>
          <w:lang w:eastAsia="pl-PL"/>
        </w:rPr>
        <w:t> Konsultant krajowy</w:t>
      </w:r>
    </w:p>
    <w:p w:rsidR="0091303E" w:rsidRPr="0091303E" w:rsidRDefault="0091303E" w:rsidP="0091303E">
      <w:pPr>
        <w:shd w:val="clear" w:color="auto" w:fill="FFFFFF"/>
        <w:spacing w:before="0" w:beforeAutospacing="0" w:after="0" w:line="270" w:lineRule="atLeast"/>
        <w:jc w:val="right"/>
        <w:rPr>
          <w:rFonts w:ascii="Trebuchet MS" w:eastAsia="Times New Roman" w:hAnsi="Trebuchet MS" w:cs="Times New Roman"/>
          <w:color w:val="000000"/>
          <w:lang w:eastAsia="pl-PL"/>
        </w:rPr>
      </w:pPr>
      <w:r w:rsidRPr="0091303E">
        <w:rPr>
          <w:rFonts w:ascii="Trebuchet MS" w:eastAsia="Times New Roman" w:hAnsi="Trebuchet MS" w:cs="Times New Roman"/>
          <w:color w:val="003366"/>
          <w:lang w:eastAsia="pl-PL"/>
        </w:rPr>
        <w:t>                                                            </w:t>
      </w:r>
      <w:r w:rsidRPr="00821A31">
        <w:rPr>
          <w:rFonts w:ascii="Trebuchet MS" w:eastAsia="Times New Roman" w:hAnsi="Trebuchet MS" w:cs="Times New Roman"/>
          <w:color w:val="003366"/>
          <w:lang w:eastAsia="pl-PL"/>
        </w:rPr>
        <w:t>                      w dziedzinie</w:t>
      </w:r>
      <w:r w:rsidRPr="0091303E">
        <w:rPr>
          <w:rFonts w:ascii="Trebuchet MS" w:eastAsia="Times New Roman" w:hAnsi="Trebuchet MS" w:cs="Times New Roman"/>
          <w:color w:val="003366"/>
          <w:lang w:eastAsia="pl-PL"/>
        </w:rPr>
        <w:t xml:space="preserve"> pielęgniarstwa onkologicznego</w:t>
      </w:r>
    </w:p>
    <w:p w:rsidR="00963759" w:rsidRDefault="00963759"/>
    <w:sectPr w:rsidR="00963759" w:rsidSect="009637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1303E"/>
    <w:rsid w:val="003453A2"/>
    <w:rsid w:val="0043504C"/>
    <w:rsid w:val="005F5142"/>
    <w:rsid w:val="0073592C"/>
    <w:rsid w:val="00821A31"/>
    <w:rsid w:val="00850E62"/>
    <w:rsid w:val="0091303E"/>
    <w:rsid w:val="00930BC4"/>
    <w:rsid w:val="0096375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00" w:beforeAutospacing="1"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375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91303E"/>
    <w:rPr>
      <w:b/>
      <w:bCs/>
    </w:rPr>
  </w:style>
  <w:style w:type="character" w:customStyle="1" w:styleId="apple-converted-space">
    <w:name w:val="apple-converted-space"/>
    <w:basedOn w:val="Domylnaczcionkaakapitu"/>
    <w:rsid w:val="0091303E"/>
  </w:style>
</w:styles>
</file>

<file path=word/webSettings.xml><?xml version="1.0" encoding="utf-8"?>
<w:webSettings xmlns:r="http://schemas.openxmlformats.org/officeDocument/2006/relationships" xmlns:w="http://schemas.openxmlformats.org/wordprocessingml/2006/main">
  <w:divs>
    <w:div w:id="1448963012">
      <w:bodyDiv w:val="1"/>
      <w:marLeft w:val="0"/>
      <w:marRight w:val="0"/>
      <w:marTop w:val="0"/>
      <w:marBottom w:val="0"/>
      <w:divBdr>
        <w:top w:val="none" w:sz="0" w:space="0" w:color="auto"/>
        <w:left w:val="none" w:sz="0" w:space="0" w:color="auto"/>
        <w:bottom w:val="none" w:sz="0" w:space="0" w:color="auto"/>
        <w:right w:val="none" w:sz="0" w:space="0" w:color="auto"/>
      </w:divBdr>
      <w:divsChild>
        <w:div w:id="957374253">
          <w:marLeft w:val="0"/>
          <w:marRight w:val="70"/>
          <w:marTop w:val="0"/>
          <w:marBottom w:val="0"/>
          <w:divBdr>
            <w:top w:val="none" w:sz="0" w:space="0" w:color="auto"/>
            <w:left w:val="none" w:sz="0" w:space="0" w:color="auto"/>
            <w:bottom w:val="none" w:sz="0" w:space="0" w:color="auto"/>
            <w:right w:val="none" w:sz="0" w:space="0" w:color="auto"/>
          </w:divBdr>
        </w:div>
        <w:div w:id="1866672340">
          <w:marLeft w:val="0"/>
          <w:marRight w:val="70"/>
          <w:marTop w:val="0"/>
          <w:marBottom w:val="0"/>
          <w:divBdr>
            <w:top w:val="none" w:sz="0" w:space="0" w:color="auto"/>
            <w:left w:val="none" w:sz="0" w:space="0" w:color="auto"/>
            <w:bottom w:val="none" w:sz="0" w:space="0" w:color="auto"/>
            <w:right w:val="none" w:sz="0" w:space="0" w:color="auto"/>
          </w:divBdr>
        </w:div>
        <w:div w:id="1329090482">
          <w:marLeft w:val="0"/>
          <w:marRight w:val="70"/>
          <w:marTop w:val="0"/>
          <w:marBottom w:val="0"/>
          <w:divBdr>
            <w:top w:val="none" w:sz="0" w:space="0" w:color="auto"/>
            <w:left w:val="none" w:sz="0" w:space="0" w:color="auto"/>
            <w:bottom w:val="none" w:sz="0" w:space="0" w:color="auto"/>
            <w:right w:val="none" w:sz="0" w:space="0" w:color="auto"/>
          </w:divBdr>
        </w:div>
        <w:div w:id="1962760961">
          <w:marLeft w:val="0"/>
          <w:marRight w:val="70"/>
          <w:marTop w:val="0"/>
          <w:marBottom w:val="0"/>
          <w:divBdr>
            <w:top w:val="none" w:sz="0" w:space="0" w:color="auto"/>
            <w:left w:val="none" w:sz="0" w:space="0" w:color="auto"/>
            <w:bottom w:val="none" w:sz="0" w:space="0" w:color="auto"/>
            <w:right w:val="none" w:sz="0" w:space="0" w:color="auto"/>
          </w:divBdr>
        </w:div>
        <w:div w:id="1297950291">
          <w:marLeft w:val="0"/>
          <w:marRight w:val="70"/>
          <w:marTop w:val="0"/>
          <w:marBottom w:val="0"/>
          <w:divBdr>
            <w:top w:val="none" w:sz="0" w:space="0" w:color="auto"/>
            <w:left w:val="none" w:sz="0" w:space="0" w:color="auto"/>
            <w:bottom w:val="none" w:sz="0" w:space="0" w:color="auto"/>
            <w:right w:val="none" w:sz="0" w:space="0" w:color="auto"/>
          </w:divBdr>
        </w:div>
        <w:div w:id="1537427900">
          <w:marLeft w:val="0"/>
          <w:marRight w:val="70"/>
          <w:marTop w:val="0"/>
          <w:marBottom w:val="0"/>
          <w:divBdr>
            <w:top w:val="none" w:sz="0" w:space="0" w:color="auto"/>
            <w:left w:val="none" w:sz="0" w:space="0" w:color="auto"/>
            <w:bottom w:val="none" w:sz="0" w:space="0" w:color="auto"/>
            <w:right w:val="none" w:sz="0" w:space="0" w:color="auto"/>
          </w:divBdr>
        </w:div>
        <w:div w:id="1150295061">
          <w:marLeft w:val="0"/>
          <w:marRight w:val="70"/>
          <w:marTop w:val="0"/>
          <w:marBottom w:val="0"/>
          <w:divBdr>
            <w:top w:val="none" w:sz="0" w:space="0" w:color="auto"/>
            <w:left w:val="none" w:sz="0" w:space="0" w:color="auto"/>
            <w:bottom w:val="none" w:sz="0" w:space="0" w:color="auto"/>
            <w:right w:val="none" w:sz="0" w:space="0" w:color="auto"/>
          </w:divBdr>
        </w:div>
        <w:div w:id="1482040414">
          <w:marLeft w:val="0"/>
          <w:marRight w:val="70"/>
          <w:marTop w:val="0"/>
          <w:marBottom w:val="0"/>
          <w:divBdr>
            <w:top w:val="none" w:sz="0" w:space="0" w:color="auto"/>
            <w:left w:val="none" w:sz="0" w:space="0" w:color="auto"/>
            <w:bottom w:val="none" w:sz="0" w:space="0" w:color="auto"/>
            <w:right w:val="none" w:sz="0" w:space="0" w:color="auto"/>
          </w:divBdr>
        </w:div>
        <w:div w:id="1015227890">
          <w:marLeft w:val="0"/>
          <w:marRight w:val="70"/>
          <w:marTop w:val="0"/>
          <w:marBottom w:val="0"/>
          <w:divBdr>
            <w:top w:val="none" w:sz="0" w:space="0" w:color="auto"/>
            <w:left w:val="none" w:sz="0" w:space="0" w:color="auto"/>
            <w:bottom w:val="none" w:sz="0" w:space="0" w:color="auto"/>
            <w:right w:val="none" w:sz="0" w:space="0" w:color="auto"/>
          </w:divBdr>
        </w:div>
        <w:div w:id="1282375413">
          <w:marLeft w:val="0"/>
          <w:marRight w:val="70"/>
          <w:marTop w:val="0"/>
          <w:marBottom w:val="0"/>
          <w:divBdr>
            <w:top w:val="none" w:sz="0" w:space="0" w:color="auto"/>
            <w:left w:val="none" w:sz="0" w:space="0" w:color="auto"/>
            <w:bottom w:val="none" w:sz="0" w:space="0" w:color="auto"/>
            <w:right w:val="none" w:sz="0" w:space="0" w:color="auto"/>
          </w:divBdr>
        </w:div>
        <w:div w:id="1028943392">
          <w:marLeft w:val="0"/>
          <w:marRight w:val="70"/>
          <w:marTop w:val="0"/>
          <w:marBottom w:val="0"/>
          <w:divBdr>
            <w:top w:val="none" w:sz="0" w:space="0" w:color="auto"/>
            <w:left w:val="none" w:sz="0" w:space="0" w:color="auto"/>
            <w:bottom w:val="none" w:sz="0" w:space="0" w:color="auto"/>
            <w:right w:val="none" w:sz="0" w:space="0" w:color="auto"/>
          </w:divBdr>
        </w:div>
        <w:div w:id="2060545264">
          <w:marLeft w:val="0"/>
          <w:marRight w:val="70"/>
          <w:marTop w:val="0"/>
          <w:marBottom w:val="0"/>
          <w:divBdr>
            <w:top w:val="none" w:sz="0" w:space="0" w:color="auto"/>
            <w:left w:val="none" w:sz="0" w:space="0" w:color="auto"/>
            <w:bottom w:val="none" w:sz="0" w:space="0" w:color="auto"/>
            <w:right w:val="none" w:sz="0" w:space="0" w:color="auto"/>
          </w:divBdr>
        </w:div>
        <w:div w:id="1564025759">
          <w:marLeft w:val="0"/>
          <w:marRight w:val="70"/>
          <w:marTop w:val="0"/>
          <w:marBottom w:val="0"/>
          <w:divBdr>
            <w:top w:val="none" w:sz="0" w:space="0" w:color="auto"/>
            <w:left w:val="none" w:sz="0" w:space="0" w:color="auto"/>
            <w:bottom w:val="none" w:sz="0" w:space="0" w:color="auto"/>
            <w:right w:val="none" w:sz="0" w:space="0" w:color="auto"/>
          </w:divBdr>
        </w:div>
        <w:div w:id="194732953">
          <w:marLeft w:val="180"/>
          <w:marRight w:val="70"/>
          <w:marTop w:val="0"/>
          <w:marBottom w:val="0"/>
          <w:divBdr>
            <w:top w:val="none" w:sz="0" w:space="0" w:color="auto"/>
            <w:left w:val="none" w:sz="0" w:space="0" w:color="auto"/>
            <w:bottom w:val="none" w:sz="0" w:space="0" w:color="auto"/>
            <w:right w:val="none" w:sz="0" w:space="0" w:color="auto"/>
          </w:divBdr>
        </w:div>
        <w:div w:id="479613670">
          <w:marLeft w:val="-180"/>
          <w:marRight w:val="70"/>
          <w:marTop w:val="0"/>
          <w:marBottom w:val="0"/>
          <w:divBdr>
            <w:top w:val="none" w:sz="0" w:space="0" w:color="auto"/>
            <w:left w:val="none" w:sz="0" w:space="0" w:color="auto"/>
            <w:bottom w:val="none" w:sz="0" w:space="0" w:color="auto"/>
            <w:right w:val="none" w:sz="0" w:space="0" w:color="auto"/>
          </w:divBdr>
        </w:div>
        <w:div w:id="1958901033">
          <w:marLeft w:val="180"/>
          <w:marRight w:val="70"/>
          <w:marTop w:val="0"/>
          <w:marBottom w:val="0"/>
          <w:divBdr>
            <w:top w:val="none" w:sz="0" w:space="0" w:color="auto"/>
            <w:left w:val="none" w:sz="0" w:space="0" w:color="auto"/>
            <w:bottom w:val="none" w:sz="0" w:space="0" w:color="auto"/>
            <w:right w:val="none" w:sz="0" w:space="0" w:color="auto"/>
          </w:divBdr>
        </w:div>
        <w:div w:id="1608004582">
          <w:marLeft w:val="0"/>
          <w:marRight w:val="70"/>
          <w:marTop w:val="0"/>
          <w:marBottom w:val="0"/>
          <w:divBdr>
            <w:top w:val="none" w:sz="0" w:space="0" w:color="auto"/>
            <w:left w:val="none" w:sz="0" w:space="0" w:color="auto"/>
            <w:bottom w:val="none" w:sz="0" w:space="0" w:color="auto"/>
            <w:right w:val="none" w:sz="0" w:space="0" w:color="auto"/>
          </w:divBdr>
        </w:div>
        <w:div w:id="267853729">
          <w:marLeft w:val="0"/>
          <w:marRight w:val="70"/>
          <w:marTop w:val="0"/>
          <w:marBottom w:val="0"/>
          <w:divBdr>
            <w:top w:val="none" w:sz="0" w:space="0" w:color="auto"/>
            <w:left w:val="none" w:sz="0" w:space="0" w:color="auto"/>
            <w:bottom w:val="none" w:sz="0" w:space="0" w:color="auto"/>
            <w:right w:val="none" w:sz="0" w:space="0" w:color="auto"/>
          </w:divBdr>
        </w:div>
        <w:div w:id="53547891">
          <w:marLeft w:val="-180"/>
          <w:marRight w:val="70"/>
          <w:marTop w:val="0"/>
          <w:marBottom w:val="0"/>
          <w:divBdr>
            <w:top w:val="none" w:sz="0" w:space="0" w:color="auto"/>
            <w:left w:val="none" w:sz="0" w:space="0" w:color="auto"/>
            <w:bottom w:val="none" w:sz="0" w:space="0" w:color="auto"/>
            <w:right w:val="none" w:sz="0" w:space="0" w:color="auto"/>
          </w:divBdr>
        </w:div>
        <w:div w:id="809247706">
          <w:marLeft w:val="0"/>
          <w:marRight w:val="70"/>
          <w:marTop w:val="0"/>
          <w:marBottom w:val="0"/>
          <w:divBdr>
            <w:top w:val="none" w:sz="0" w:space="0" w:color="auto"/>
            <w:left w:val="none" w:sz="0" w:space="0" w:color="auto"/>
            <w:bottom w:val="none" w:sz="0" w:space="0" w:color="auto"/>
            <w:right w:val="none" w:sz="0" w:space="0" w:color="auto"/>
          </w:divBdr>
        </w:div>
        <w:div w:id="1989555705">
          <w:marLeft w:val="0"/>
          <w:marRight w:val="70"/>
          <w:marTop w:val="0"/>
          <w:marBottom w:val="0"/>
          <w:divBdr>
            <w:top w:val="none" w:sz="0" w:space="0" w:color="auto"/>
            <w:left w:val="none" w:sz="0" w:space="0" w:color="auto"/>
            <w:bottom w:val="none" w:sz="0" w:space="0" w:color="auto"/>
            <w:right w:val="none" w:sz="0" w:space="0" w:color="auto"/>
          </w:divBdr>
        </w:div>
        <w:div w:id="872890436">
          <w:marLeft w:val="0"/>
          <w:marRight w:val="70"/>
          <w:marTop w:val="0"/>
          <w:marBottom w:val="0"/>
          <w:divBdr>
            <w:top w:val="none" w:sz="0" w:space="0" w:color="auto"/>
            <w:left w:val="none" w:sz="0" w:space="0" w:color="auto"/>
            <w:bottom w:val="none" w:sz="0" w:space="0" w:color="auto"/>
            <w:right w:val="none" w:sz="0" w:space="0" w:color="auto"/>
          </w:divBdr>
        </w:div>
        <w:div w:id="327253988">
          <w:marLeft w:val="0"/>
          <w:marRight w:val="70"/>
          <w:marTop w:val="0"/>
          <w:marBottom w:val="0"/>
          <w:divBdr>
            <w:top w:val="none" w:sz="0" w:space="0" w:color="auto"/>
            <w:left w:val="none" w:sz="0" w:space="0" w:color="auto"/>
            <w:bottom w:val="none" w:sz="0" w:space="0" w:color="auto"/>
            <w:right w:val="none" w:sz="0" w:space="0" w:color="auto"/>
          </w:divBdr>
        </w:div>
        <w:div w:id="26879555">
          <w:marLeft w:val="360"/>
          <w:marRight w:val="0"/>
          <w:marTop w:val="0"/>
          <w:marBottom w:val="0"/>
          <w:divBdr>
            <w:top w:val="none" w:sz="0" w:space="0" w:color="auto"/>
            <w:left w:val="none" w:sz="0" w:space="0" w:color="auto"/>
            <w:bottom w:val="none" w:sz="0" w:space="0" w:color="auto"/>
            <w:right w:val="none" w:sz="0" w:space="0" w:color="auto"/>
          </w:divBdr>
        </w:div>
        <w:div w:id="1683046515">
          <w:marLeft w:val="360"/>
          <w:marRight w:val="0"/>
          <w:marTop w:val="0"/>
          <w:marBottom w:val="120"/>
          <w:divBdr>
            <w:top w:val="none" w:sz="0" w:space="0" w:color="auto"/>
            <w:left w:val="none" w:sz="0" w:space="0" w:color="auto"/>
            <w:bottom w:val="none" w:sz="0" w:space="0" w:color="auto"/>
            <w:right w:val="none" w:sz="0" w:space="0" w:color="auto"/>
          </w:divBdr>
        </w:div>
        <w:div w:id="595594909">
          <w:marLeft w:val="360"/>
          <w:marRight w:val="0"/>
          <w:marTop w:val="0"/>
          <w:marBottom w:val="0"/>
          <w:divBdr>
            <w:top w:val="none" w:sz="0" w:space="0" w:color="auto"/>
            <w:left w:val="none" w:sz="0" w:space="0" w:color="auto"/>
            <w:bottom w:val="none" w:sz="0" w:space="0" w:color="auto"/>
            <w:right w:val="none" w:sz="0" w:space="0" w:color="auto"/>
          </w:divBdr>
        </w:div>
        <w:div w:id="443116126">
          <w:marLeft w:val="360"/>
          <w:marRight w:val="0"/>
          <w:marTop w:val="0"/>
          <w:marBottom w:val="0"/>
          <w:divBdr>
            <w:top w:val="none" w:sz="0" w:space="0" w:color="auto"/>
            <w:left w:val="none" w:sz="0" w:space="0" w:color="auto"/>
            <w:bottom w:val="none" w:sz="0" w:space="0" w:color="auto"/>
            <w:right w:val="none" w:sz="0" w:space="0" w:color="auto"/>
          </w:divBdr>
        </w:div>
        <w:div w:id="1265570860">
          <w:marLeft w:val="360"/>
          <w:marRight w:val="0"/>
          <w:marTop w:val="0"/>
          <w:marBottom w:val="0"/>
          <w:divBdr>
            <w:top w:val="none" w:sz="0" w:space="0" w:color="auto"/>
            <w:left w:val="none" w:sz="0" w:space="0" w:color="auto"/>
            <w:bottom w:val="none" w:sz="0" w:space="0" w:color="auto"/>
            <w:right w:val="none" w:sz="0" w:space="0" w:color="auto"/>
          </w:divBdr>
        </w:div>
        <w:div w:id="1573808294">
          <w:marLeft w:val="360"/>
          <w:marRight w:val="0"/>
          <w:marTop w:val="0"/>
          <w:marBottom w:val="0"/>
          <w:divBdr>
            <w:top w:val="none" w:sz="0" w:space="0" w:color="auto"/>
            <w:left w:val="none" w:sz="0" w:space="0" w:color="auto"/>
            <w:bottom w:val="none" w:sz="0" w:space="0" w:color="auto"/>
            <w:right w:val="none" w:sz="0" w:space="0" w:color="auto"/>
          </w:divBdr>
        </w:div>
        <w:div w:id="1607956502">
          <w:marLeft w:val="360"/>
          <w:marRight w:val="0"/>
          <w:marTop w:val="0"/>
          <w:marBottom w:val="0"/>
          <w:divBdr>
            <w:top w:val="none" w:sz="0" w:space="0" w:color="auto"/>
            <w:left w:val="none" w:sz="0" w:space="0" w:color="auto"/>
            <w:bottom w:val="none" w:sz="0" w:space="0" w:color="auto"/>
            <w:right w:val="none" w:sz="0" w:space="0" w:color="auto"/>
          </w:divBdr>
        </w:div>
        <w:div w:id="307974566">
          <w:marLeft w:val="360"/>
          <w:marRight w:val="0"/>
          <w:marTop w:val="0"/>
          <w:marBottom w:val="0"/>
          <w:divBdr>
            <w:top w:val="none" w:sz="0" w:space="0" w:color="auto"/>
            <w:left w:val="none" w:sz="0" w:space="0" w:color="auto"/>
            <w:bottom w:val="none" w:sz="0" w:space="0" w:color="auto"/>
            <w:right w:val="none" w:sz="0" w:space="0" w:color="auto"/>
          </w:divBdr>
        </w:div>
        <w:div w:id="1743261070">
          <w:marLeft w:val="360"/>
          <w:marRight w:val="0"/>
          <w:marTop w:val="0"/>
          <w:marBottom w:val="0"/>
          <w:divBdr>
            <w:top w:val="none" w:sz="0" w:space="0" w:color="auto"/>
            <w:left w:val="none" w:sz="0" w:space="0" w:color="auto"/>
            <w:bottom w:val="none" w:sz="0" w:space="0" w:color="auto"/>
            <w:right w:val="none" w:sz="0" w:space="0" w:color="auto"/>
          </w:divBdr>
        </w:div>
        <w:div w:id="272514584">
          <w:marLeft w:val="360"/>
          <w:marRight w:val="0"/>
          <w:marTop w:val="0"/>
          <w:marBottom w:val="0"/>
          <w:divBdr>
            <w:top w:val="none" w:sz="0" w:space="0" w:color="auto"/>
            <w:left w:val="none" w:sz="0" w:space="0" w:color="auto"/>
            <w:bottom w:val="none" w:sz="0" w:space="0" w:color="auto"/>
            <w:right w:val="none" w:sz="0" w:space="0" w:color="auto"/>
          </w:divBdr>
        </w:div>
        <w:div w:id="1183399079">
          <w:marLeft w:val="360"/>
          <w:marRight w:val="0"/>
          <w:marTop w:val="0"/>
          <w:marBottom w:val="0"/>
          <w:divBdr>
            <w:top w:val="none" w:sz="0" w:space="0" w:color="auto"/>
            <w:left w:val="none" w:sz="0" w:space="0" w:color="auto"/>
            <w:bottom w:val="none" w:sz="0" w:space="0" w:color="auto"/>
            <w:right w:val="none" w:sz="0" w:space="0" w:color="auto"/>
          </w:divBdr>
        </w:div>
        <w:div w:id="1977905443">
          <w:marLeft w:val="360"/>
          <w:marRight w:val="0"/>
          <w:marTop w:val="0"/>
          <w:marBottom w:val="0"/>
          <w:divBdr>
            <w:top w:val="none" w:sz="0" w:space="0" w:color="auto"/>
            <w:left w:val="none" w:sz="0" w:space="0" w:color="auto"/>
            <w:bottom w:val="none" w:sz="0" w:space="0" w:color="auto"/>
            <w:right w:val="none" w:sz="0" w:space="0" w:color="auto"/>
          </w:divBdr>
        </w:div>
        <w:div w:id="94326643">
          <w:marLeft w:val="360"/>
          <w:marRight w:val="0"/>
          <w:marTop w:val="0"/>
          <w:marBottom w:val="0"/>
          <w:divBdr>
            <w:top w:val="none" w:sz="0" w:space="0" w:color="auto"/>
            <w:left w:val="none" w:sz="0" w:space="0" w:color="auto"/>
            <w:bottom w:val="none" w:sz="0" w:space="0" w:color="auto"/>
            <w:right w:val="none" w:sz="0" w:space="0" w:color="auto"/>
          </w:divBdr>
        </w:div>
        <w:div w:id="18555984">
          <w:marLeft w:val="360"/>
          <w:marRight w:val="0"/>
          <w:marTop w:val="0"/>
          <w:marBottom w:val="0"/>
          <w:divBdr>
            <w:top w:val="none" w:sz="0" w:space="0" w:color="auto"/>
            <w:left w:val="none" w:sz="0" w:space="0" w:color="auto"/>
            <w:bottom w:val="none" w:sz="0" w:space="0" w:color="auto"/>
            <w:right w:val="none" w:sz="0" w:space="0" w:color="auto"/>
          </w:divBdr>
        </w:div>
        <w:div w:id="691999830">
          <w:marLeft w:val="360"/>
          <w:marRight w:val="0"/>
          <w:marTop w:val="0"/>
          <w:marBottom w:val="0"/>
          <w:divBdr>
            <w:top w:val="none" w:sz="0" w:space="0" w:color="auto"/>
            <w:left w:val="none" w:sz="0" w:space="0" w:color="auto"/>
            <w:bottom w:val="none" w:sz="0" w:space="0" w:color="auto"/>
            <w:right w:val="none" w:sz="0" w:space="0" w:color="auto"/>
          </w:divBdr>
        </w:div>
        <w:div w:id="675110733">
          <w:marLeft w:val="360"/>
          <w:marRight w:val="0"/>
          <w:marTop w:val="0"/>
          <w:marBottom w:val="0"/>
          <w:divBdr>
            <w:top w:val="none" w:sz="0" w:space="0" w:color="auto"/>
            <w:left w:val="none" w:sz="0" w:space="0" w:color="auto"/>
            <w:bottom w:val="none" w:sz="0" w:space="0" w:color="auto"/>
            <w:right w:val="none" w:sz="0" w:space="0" w:color="auto"/>
          </w:divBdr>
        </w:div>
        <w:div w:id="739182496">
          <w:marLeft w:val="360"/>
          <w:marRight w:val="0"/>
          <w:marTop w:val="0"/>
          <w:marBottom w:val="0"/>
          <w:divBdr>
            <w:top w:val="none" w:sz="0" w:space="0" w:color="auto"/>
            <w:left w:val="none" w:sz="0" w:space="0" w:color="auto"/>
            <w:bottom w:val="none" w:sz="0" w:space="0" w:color="auto"/>
            <w:right w:val="none" w:sz="0" w:space="0" w:color="auto"/>
          </w:divBdr>
        </w:div>
        <w:div w:id="467014018">
          <w:marLeft w:val="360"/>
          <w:marRight w:val="0"/>
          <w:marTop w:val="0"/>
          <w:marBottom w:val="0"/>
          <w:divBdr>
            <w:top w:val="none" w:sz="0" w:space="0" w:color="auto"/>
            <w:left w:val="none" w:sz="0" w:space="0" w:color="auto"/>
            <w:bottom w:val="none" w:sz="0" w:space="0" w:color="auto"/>
            <w:right w:val="none" w:sz="0" w:space="0" w:color="auto"/>
          </w:divBdr>
        </w:div>
        <w:div w:id="624623993">
          <w:marLeft w:val="360"/>
          <w:marRight w:val="0"/>
          <w:marTop w:val="0"/>
          <w:marBottom w:val="0"/>
          <w:divBdr>
            <w:top w:val="none" w:sz="0" w:space="0" w:color="auto"/>
            <w:left w:val="none" w:sz="0" w:space="0" w:color="auto"/>
            <w:bottom w:val="none" w:sz="0" w:space="0" w:color="auto"/>
            <w:right w:val="none" w:sz="0" w:space="0" w:color="auto"/>
          </w:divBdr>
        </w:div>
        <w:div w:id="30692468">
          <w:marLeft w:val="360"/>
          <w:marRight w:val="0"/>
          <w:marTop w:val="0"/>
          <w:marBottom w:val="0"/>
          <w:divBdr>
            <w:top w:val="none" w:sz="0" w:space="0" w:color="auto"/>
            <w:left w:val="none" w:sz="0" w:space="0" w:color="auto"/>
            <w:bottom w:val="none" w:sz="0" w:space="0" w:color="auto"/>
            <w:right w:val="none" w:sz="0" w:space="0" w:color="auto"/>
          </w:divBdr>
        </w:div>
        <w:div w:id="1782344">
          <w:marLeft w:val="360"/>
          <w:marRight w:val="0"/>
          <w:marTop w:val="0"/>
          <w:marBottom w:val="0"/>
          <w:divBdr>
            <w:top w:val="none" w:sz="0" w:space="0" w:color="auto"/>
            <w:left w:val="none" w:sz="0" w:space="0" w:color="auto"/>
            <w:bottom w:val="none" w:sz="0" w:space="0" w:color="auto"/>
            <w:right w:val="none" w:sz="0" w:space="0" w:color="auto"/>
          </w:divBdr>
        </w:div>
        <w:div w:id="2015453711">
          <w:marLeft w:val="360"/>
          <w:marRight w:val="0"/>
          <w:marTop w:val="0"/>
          <w:marBottom w:val="0"/>
          <w:divBdr>
            <w:top w:val="none" w:sz="0" w:space="0" w:color="auto"/>
            <w:left w:val="none" w:sz="0" w:space="0" w:color="auto"/>
            <w:bottom w:val="none" w:sz="0" w:space="0" w:color="auto"/>
            <w:right w:val="none" w:sz="0" w:space="0" w:color="auto"/>
          </w:divBdr>
        </w:div>
        <w:div w:id="115371552">
          <w:marLeft w:val="0"/>
          <w:marRight w:val="0"/>
          <w:marTop w:val="0"/>
          <w:marBottom w:val="0"/>
          <w:divBdr>
            <w:top w:val="none" w:sz="0" w:space="0" w:color="auto"/>
            <w:left w:val="none" w:sz="0" w:space="0" w:color="auto"/>
            <w:bottom w:val="none" w:sz="0" w:space="0" w:color="auto"/>
            <w:right w:val="none" w:sz="0" w:space="0" w:color="auto"/>
          </w:divBdr>
        </w:div>
        <w:div w:id="1969621203">
          <w:marLeft w:val="360"/>
          <w:marRight w:val="0"/>
          <w:marTop w:val="0"/>
          <w:marBottom w:val="0"/>
          <w:divBdr>
            <w:top w:val="none" w:sz="0" w:space="0" w:color="auto"/>
            <w:left w:val="none" w:sz="0" w:space="0" w:color="auto"/>
            <w:bottom w:val="none" w:sz="0" w:space="0" w:color="auto"/>
            <w:right w:val="none" w:sz="0" w:space="0" w:color="auto"/>
          </w:divBdr>
        </w:div>
        <w:div w:id="521550962">
          <w:marLeft w:val="0"/>
          <w:marRight w:val="0"/>
          <w:marTop w:val="0"/>
          <w:marBottom w:val="0"/>
          <w:divBdr>
            <w:top w:val="none" w:sz="0" w:space="0" w:color="auto"/>
            <w:left w:val="none" w:sz="0" w:space="0" w:color="auto"/>
            <w:bottom w:val="none" w:sz="0" w:space="0" w:color="auto"/>
            <w:right w:val="none" w:sz="0" w:space="0" w:color="auto"/>
          </w:divBdr>
        </w:div>
        <w:div w:id="2057049827">
          <w:marLeft w:val="360"/>
          <w:marRight w:val="0"/>
          <w:marTop w:val="0"/>
          <w:marBottom w:val="0"/>
          <w:divBdr>
            <w:top w:val="none" w:sz="0" w:space="0" w:color="auto"/>
            <w:left w:val="none" w:sz="0" w:space="0" w:color="auto"/>
            <w:bottom w:val="none" w:sz="0" w:space="0" w:color="auto"/>
            <w:right w:val="none" w:sz="0" w:space="0" w:color="auto"/>
          </w:divBdr>
        </w:div>
        <w:div w:id="282152190">
          <w:marLeft w:val="0"/>
          <w:marRight w:val="0"/>
          <w:marTop w:val="0"/>
          <w:marBottom w:val="0"/>
          <w:divBdr>
            <w:top w:val="none" w:sz="0" w:space="0" w:color="auto"/>
            <w:left w:val="none" w:sz="0" w:space="0" w:color="auto"/>
            <w:bottom w:val="none" w:sz="0" w:space="0" w:color="auto"/>
            <w:right w:val="none" w:sz="0" w:space="0" w:color="auto"/>
          </w:divBdr>
        </w:div>
        <w:div w:id="1262882874">
          <w:marLeft w:val="360"/>
          <w:marRight w:val="0"/>
          <w:marTop w:val="0"/>
          <w:marBottom w:val="0"/>
          <w:divBdr>
            <w:top w:val="none" w:sz="0" w:space="0" w:color="auto"/>
            <w:left w:val="none" w:sz="0" w:space="0" w:color="auto"/>
            <w:bottom w:val="none" w:sz="0" w:space="0" w:color="auto"/>
            <w:right w:val="none" w:sz="0" w:space="0" w:color="auto"/>
          </w:divBdr>
        </w:div>
        <w:div w:id="361442640">
          <w:marLeft w:val="0"/>
          <w:marRight w:val="0"/>
          <w:marTop w:val="0"/>
          <w:marBottom w:val="0"/>
          <w:divBdr>
            <w:top w:val="none" w:sz="0" w:space="0" w:color="auto"/>
            <w:left w:val="none" w:sz="0" w:space="0" w:color="auto"/>
            <w:bottom w:val="none" w:sz="0" w:space="0" w:color="auto"/>
            <w:right w:val="none" w:sz="0" w:space="0" w:color="auto"/>
          </w:divBdr>
        </w:div>
        <w:div w:id="1508211919">
          <w:marLeft w:val="0"/>
          <w:marRight w:val="70"/>
          <w:marTop w:val="0"/>
          <w:marBottom w:val="0"/>
          <w:divBdr>
            <w:top w:val="none" w:sz="0" w:space="0" w:color="auto"/>
            <w:left w:val="none" w:sz="0" w:space="0" w:color="auto"/>
            <w:bottom w:val="none" w:sz="0" w:space="0" w:color="auto"/>
            <w:right w:val="none" w:sz="0" w:space="0" w:color="auto"/>
          </w:divBdr>
        </w:div>
        <w:div w:id="1063525844">
          <w:marLeft w:val="0"/>
          <w:marRight w:val="70"/>
          <w:marTop w:val="0"/>
          <w:marBottom w:val="0"/>
          <w:divBdr>
            <w:top w:val="none" w:sz="0" w:space="0" w:color="auto"/>
            <w:left w:val="none" w:sz="0" w:space="0" w:color="auto"/>
            <w:bottom w:val="none" w:sz="0" w:space="0" w:color="auto"/>
            <w:right w:val="none" w:sz="0" w:space="0" w:color="auto"/>
          </w:divBdr>
        </w:div>
        <w:div w:id="1531799254">
          <w:marLeft w:val="0"/>
          <w:marRight w:val="0"/>
          <w:marTop w:val="0"/>
          <w:marBottom w:val="0"/>
          <w:divBdr>
            <w:top w:val="none" w:sz="0" w:space="0" w:color="auto"/>
            <w:left w:val="none" w:sz="0" w:space="0" w:color="auto"/>
            <w:bottom w:val="none" w:sz="0" w:space="0" w:color="auto"/>
            <w:right w:val="none" w:sz="0" w:space="0" w:color="auto"/>
          </w:divBdr>
        </w:div>
        <w:div w:id="895749249">
          <w:marLeft w:val="0"/>
          <w:marRight w:val="0"/>
          <w:marTop w:val="0"/>
          <w:marBottom w:val="0"/>
          <w:divBdr>
            <w:top w:val="none" w:sz="0" w:space="0" w:color="auto"/>
            <w:left w:val="none" w:sz="0" w:space="0" w:color="auto"/>
            <w:bottom w:val="none" w:sz="0" w:space="0" w:color="auto"/>
            <w:right w:val="none" w:sz="0" w:space="0" w:color="auto"/>
          </w:divBdr>
        </w:div>
        <w:div w:id="755060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7288</Characters>
  <Application>Microsoft Office Word</Application>
  <DocSecurity>0</DocSecurity>
  <Lines>60</Lines>
  <Paragraphs>16</Paragraphs>
  <ScaleCrop>false</ScaleCrop>
  <Company>DOIPiP - WROCŁAW</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ewid1</dc:creator>
  <cp:keywords/>
  <dc:description/>
  <cp:lastModifiedBy>ewid1</cp:lastModifiedBy>
  <cp:revision>2</cp:revision>
  <dcterms:created xsi:type="dcterms:W3CDTF">2016-09-23T12:20:00Z</dcterms:created>
  <dcterms:modified xsi:type="dcterms:W3CDTF">2016-09-23T12:21:00Z</dcterms:modified>
</cp:coreProperties>
</file>